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7DABD3D6" w:rsidR="00DD3D9E" w:rsidRPr="0011794F" w:rsidRDefault="00F16CDE">
      <w:pPr>
        <w:pStyle w:val="Els-Title"/>
        <w:rPr>
          <w:color w:val="000000" w:themeColor="text1"/>
        </w:rPr>
      </w:pPr>
      <w:r w:rsidRPr="0011794F">
        <w:rPr>
          <w:color w:val="000000" w:themeColor="text1"/>
        </w:rPr>
        <w:t>Novel Process for Bio</w:t>
      </w:r>
      <w:r w:rsidR="006E6696">
        <w:rPr>
          <w:color w:val="000000" w:themeColor="text1"/>
        </w:rPr>
        <w:t>-</w:t>
      </w:r>
      <w:proofErr w:type="spellStart"/>
      <w:r w:rsidRPr="0011794F">
        <w:rPr>
          <w:color w:val="000000" w:themeColor="text1"/>
        </w:rPr>
        <w:t>jetfuel</w:t>
      </w:r>
      <w:proofErr w:type="spellEnd"/>
      <w:r w:rsidRPr="0011794F">
        <w:rPr>
          <w:color w:val="000000" w:themeColor="text1"/>
        </w:rPr>
        <w:t xml:space="preserve"> Production Through the Furan Pathway. Techno-Economic, Environmental and Safety Assessment </w:t>
      </w:r>
    </w:p>
    <w:p w14:paraId="144DE680" w14:textId="55683E49" w:rsidR="00DD3D9E" w:rsidRPr="0011794F" w:rsidRDefault="00A51C04">
      <w:pPr>
        <w:pStyle w:val="Els-Author"/>
        <w:rPr>
          <w:vertAlign w:val="superscript"/>
          <w:lang w:val="en-US"/>
        </w:rPr>
      </w:pPr>
      <w:bookmarkStart w:id="0" w:name="_Hlk151968717"/>
      <w:r>
        <w:rPr>
          <w:lang w:val="en-US"/>
        </w:rPr>
        <w:t xml:space="preserve">Melissa Pamela </w:t>
      </w:r>
      <w:r w:rsidR="00F16CDE" w:rsidRPr="0011794F">
        <w:rPr>
          <w:lang w:val="en-US"/>
        </w:rPr>
        <w:t>Hinojosa-Esquivel</w:t>
      </w:r>
      <w:bookmarkEnd w:id="0"/>
      <w:r w:rsidR="00011B43" w:rsidRPr="0011794F">
        <w:rPr>
          <w:vertAlign w:val="superscript"/>
          <w:lang w:val="en-US"/>
        </w:rPr>
        <w:t>a</w:t>
      </w:r>
      <w:r w:rsidR="00F16CDE" w:rsidRPr="0011794F">
        <w:rPr>
          <w:lang w:val="en-US"/>
        </w:rPr>
        <w:t xml:space="preserve">, </w:t>
      </w:r>
      <w:r>
        <w:rPr>
          <w:lang w:val="en-US"/>
        </w:rPr>
        <w:t xml:space="preserve">Cesar </w:t>
      </w:r>
      <w:r w:rsidR="00F16CDE" w:rsidRPr="0011794F">
        <w:rPr>
          <w:lang w:val="en-US"/>
        </w:rPr>
        <w:t>Ramirez-Marquez</w:t>
      </w:r>
      <w:r w:rsidR="00011B43" w:rsidRPr="0011794F">
        <w:rPr>
          <w:vertAlign w:val="superscript"/>
          <w:lang w:val="en-US"/>
        </w:rPr>
        <w:t>b</w:t>
      </w:r>
      <w:r w:rsidR="00F16CDE" w:rsidRPr="0011794F">
        <w:rPr>
          <w:lang w:val="en-US"/>
        </w:rPr>
        <w:t xml:space="preserve">, </w:t>
      </w:r>
      <w:r w:rsidRPr="00A51C04">
        <w:rPr>
          <w:lang w:val="en-US"/>
        </w:rPr>
        <w:t xml:space="preserve">Julio Cesar </w:t>
      </w:r>
      <w:r w:rsidR="00F16CDE" w:rsidRPr="0011794F">
        <w:rPr>
          <w:lang w:val="en-US"/>
        </w:rPr>
        <w:t>Velazquez-Altamirano</w:t>
      </w:r>
      <w:r w:rsidR="00011B43" w:rsidRPr="0011794F">
        <w:rPr>
          <w:vertAlign w:val="superscript"/>
          <w:lang w:val="en-US"/>
        </w:rPr>
        <w:t>a</w:t>
      </w:r>
      <w:r w:rsidR="00F16CDE" w:rsidRPr="0011794F">
        <w:rPr>
          <w:lang w:val="en-US"/>
        </w:rPr>
        <w:t xml:space="preserve">, </w:t>
      </w:r>
      <w:r w:rsidRPr="00A51C04">
        <w:rPr>
          <w:lang w:val="en-US"/>
        </w:rPr>
        <w:t>Juan Jos</w:t>
      </w:r>
      <w:r>
        <w:rPr>
          <w:lang w:val="en-US"/>
        </w:rPr>
        <w:t>é</w:t>
      </w:r>
      <w:r w:rsidRPr="00A51C04">
        <w:rPr>
          <w:lang w:val="en-US"/>
        </w:rPr>
        <w:t xml:space="preserve"> </w:t>
      </w:r>
      <w:r w:rsidR="00F16CDE" w:rsidRPr="0011794F">
        <w:rPr>
          <w:lang w:val="en-US"/>
        </w:rPr>
        <w:t xml:space="preserve">Quiroz-Ramirez </w:t>
      </w:r>
      <w:r w:rsidR="00011B43" w:rsidRPr="0011794F">
        <w:rPr>
          <w:vertAlign w:val="superscript"/>
          <w:lang w:val="en-US"/>
        </w:rPr>
        <w:t>c</w:t>
      </w:r>
      <w:r w:rsidR="00F16CDE" w:rsidRPr="0011794F">
        <w:rPr>
          <w:lang w:val="en-US"/>
        </w:rPr>
        <w:t xml:space="preserve">, </w:t>
      </w:r>
      <w:r w:rsidRPr="00A51C04">
        <w:rPr>
          <w:lang w:val="en-US"/>
        </w:rPr>
        <w:t>Juan Gabriel</w:t>
      </w:r>
      <w:r>
        <w:rPr>
          <w:lang w:val="en-US"/>
        </w:rPr>
        <w:t xml:space="preserve"> </w:t>
      </w:r>
      <w:r w:rsidR="00F16CDE" w:rsidRPr="0011794F">
        <w:rPr>
          <w:lang w:val="en-US"/>
        </w:rPr>
        <w:t>Segovia-Hernandez</w:t>
      </w:r>
      <w:r w:rsidR="00011B43" w:rsidRPr="0011794F">
        <w:rPr>
          <w:vertAlign w:val="superscript"/>
          <w:lang w:val="en-US"/>
        </w:rPr>
        <w:t>d</w:t>
      </w:r>
      <w:r w:rsidR="00F16CDE" w:rsidRPr="0011794F">
        <w:rPr>
          <w:lang w:val="en-US"/>
        </w:rPr>
        <w:t xml:space="preserve">, </w:t>
      </w:r>
      <w:r w:rsidRPr="00A51C04">
        <w:rPr>
          <w:lang w:val="en-US"/>
        </w:rPr>
        <w:t xml:space="preserve">Gabriel </w:t>
      </w:r>
      <w:r w:rsidR="00F16CDE" w:rsidRPr="0011794F">
        <w:rPr>
          <w:lang w:val="en-US"/>
        </w:rPr>
        <w:t>Contreras-Zarazua</w:t>
      </w:r>
      <w:bookmarkStart w:id="1" w:name="_GoBack"/>
      <w:bookmarkEnd w:id="1"/>
      <w:r w:rsidR="00011B43" w:rsidRPr="0011794F">
        <w:rPr>
          <w:vertAlign w:val="superscript"/>
          <w:lang w:val="en-US"/>
        </w:rPr>
        <w:t>c,d</w:t>
      </w:r>
    </w:p>
    <w:p w14:paraId="144DE681" w14:textId="2B91CB22" w:rsidR="00DD3D9E" w:rsidRPr="0011794F" w:rsidRDefault="00011B43">
      <w:pPr>
        <w:pStyle w:val="Els-Affiliation"/>
        <w:rPr>
          <w:lang w:val="es-MX"/>
        </w:rPr>
      </w:pPr>
      <w:r w:rsidRPr="0011794F">
        <w:rPr>
          <w:vertAlign w:val="superscript"/>
          <w:lang w:val="es-MX"/>
        </w:rPr>
        <w:t>a</w:t>
      </w:r>
      <w:r w:rsidRPr="0011794F">
        <w:rPr>
          <w:lang w:val="es-MX"/>
        </w:rPr>
        <w:t>Escuela Superior de Ingeniería Química e Industrias Extractivas  Instituto Politécnico Nacional s/n Edificio 7, de, Av Instituto Politécnico Nacional, Lindavista, Ciudad de México, CDMX, 07738, México.</w:t>
      </w:r>
    </w:p>
    <w:p w14:paraId="144DE682" w14:textId="26F5C107" w:rsidR="00DD3D9E" w:rsidRPr="0011794F" w:rsidRDefault="00011B43">
      <w:pPr>
        <w:pStyle w:val="Els-Affiliation"/>
        <w:rPr>
          <w:lang w:val="es-MX"/>
        </w:rPr>
      </w:pPr>
      <w:r w:rsidRPr="0011794F">
        <w:rPr>
          <w:vertAlign w:val="superscript"/>
          <w:lang w:val="es-MX"/>
        </w:rPr>
        <w:t>b</w:t>
      </w:r>
      <w:r w:rsidRPr="0011794F">
        <w:rPr>
          <w:lang w:val="es-MX"/>
        </w:rPr>
        <w:t>Departamento de Ingeniería Química, Universidad Michoacana de San Nicol ́as de Hidalgo, Morelia, Mich 58060, Mexico.</w:t>
      </w:r>
    </w:p>
    <w:p w14:paraId="3CFAECFB" w14:textId="45F4BE51" w:rsidR="002659BB" w:rsidRPr="0011794F" w:rsidRDefault="002659BB">
      <w:pPr>
        <w:pStyle w:val="Els-Affiliation"/>
        <w:rPr>
          <w:lang w:val="es-MX"/>
        </w:rPr>
      </w:pPr>
      <w:r w:rsidRPr="0011794F">
        <w:rPr>
          <w:vertAlign w:val="superscript"/>
          <w:lang w:val="es-MX"/>
        </w:rPr>
        <w:t>c</w:t>
      </w:r>
      <w:r w:rsidRPr="0011794F">
        <w:rPr>
          <w:lang w:val="es-MX"/>
        </w:rPr>
        <w:t>CONACYT-CIATEC, A.C. Centro de Innovación Aplicada en Tecnologías Competitivas. Omega 201, Industrial Delta, 37454 León, GTO, México.</w:t>
      </w:r>
    </w:p>
    <w:p w14:paraId="06CF28E6" w14:textId="7FD860EE" w:rsidR="002659BB" w:rsidRPr="0011794F" w:rsidRDefault="002659BB" w:rsidP="002659BB">
      <w:pPr>
        <w:tabs>
          <w:tab w:val="left" w:pos="1080"/>
          <w:tab w:val="right" w:pos="9000"/>
        </w:tabs>
        <w:rPr>
          <w:i/>
          <w:color w:val="000000"/>
          <w:lang w:val="es-MX"/>
        </w:rPr>
      </w:pPr>
      <w:r w:rsidRPr="0011794F">
        <w:rPr>
          <w:i/>
          <w:color w:val="000000"/>
          <w:vertAlign w:val="superscript"/>
          <w:lang w:val="es-MX"/>
        </w:rPr>
        <w:t>d</w:t>
      </w:r>
      <w:r w:rsidRPr="0011794F">
        <w:rPr>
          <w:i/>
          <w:color w:val="000000"/>
          <w:lang w:val="es-MX"/>
        </w:rPr>
        <w:t>Departamento de Ingeniería Química, Universidad de Guanajuato, Noria Alta s/n, Guanajuato, Gto., 36050, México.</w:t>
      </w:r>
    </w:p>
    <w:p w14:paraId="144DE683" w14:textId="46C39EE7" w:rsidR="008D2649" w:rsidRPr="0011794F" w:rsidRDefault="00A51C04" w:rsidP="008D2649">
      <w:pPr>
        <w:pStyle w:val="Els-Affiliation"/>
        <w:spacing w:after="120"/>
      </w:pPr>
      <w:hyperlink r:id="rId8" w:history="1">
        <w:r w:rsidR="002659BB" w:rsidRPr="0011794F">
          <w:rPr>
            <w:rStyle w:val="Collegamentoipertestuale"/>
          </w:rPr>
          <w:t>g.contreras@ugto.mx</w:t>
        </w:r>
      </w:hyperlink>
      <w:r w:rsidR="002659BB" w:rsidRPr="0011794F">
        <w:t xml:space="preserve"> </w:t>
      </w:r>
    </w:p>
    <w:p w14:paraId="144DE684" w14:textId="77777777" w:rsidR="008D2649" w:rsidRPr="0011794F" w:rsidRDefault="008D2649" w:rsidP="008D2649">
      <w:pPr>
        <w:pStyle w:val="Els-Abstract"/>
      </w:pPr>
      <w:r w:rsidRPr="0011794F">
        <w:t>Abstract</w:t>
      </w:r>
    </w:p>
    <w:p w14:paraId="166D95C3" w14:textId="2F96AAB6" w:rsidR="00801C1B" w:rsidRPr="0011794F" w:rsidRDefault="00801C1B" w:rsidP="009A3B89">
      <w:pPr>
        <w:pStyle w:val="Els-body-text"/>
        <w:spacing w:after="120"/>
        <w:rPr>
          <w:lang w:val="en-GB"/>
        </w:rPr>
      </w:pPr>
      <w:r w:rsidRPr="0011794F">
        <w:rPr>
          <w:lang w:val="en-GB"/>
        </w:rPr>
        <w:t xml:space="preserve">This study proposes a new biofuel production process using furans derived from lignocellulosic residues to </w:t>
      </w:r>
      <w:r w:rsidR="006E6696" w:rsidRPr="0011794F">
        <w:rPr>
          <w:lang w:val="en-GB"/>
        </w:rPr>
        <w:t>convert</w:t>
      </w:r>
      <w:r w:rsidRPr="0011794F">
        <w:rPr>
          <w:lang w:val="en-GB"/>
        </w:rPr>
        <w:t xml:space="preserve"> them into gasoline, bio-jet fuel, or diesel. The process consists of three fundamental stages: aldol condensation, hydrodeoxygenation (HDO), and separation. Different catalysts and technologies were evaluated using as metrics the total annual cost (TAC), the eco-indicator 99 (EI99), and the individual risk (IR) to determine the economic, environmental and safety aspects of the process, respectively</w:t>
      </w:r>
      <w:r w:rsidR="006E6696">
        <w:rPr>
          <w:lang w:val="en-GB"/>
        </w:rPr>
        <w:t>. This metrics were chosen in order to evaluate the</w:t>
      </w:r>
      <w:r w:rsidRPr="0011794F">
        <w:rPr>
          <w:lang w:val="en-GB"/>
        </w:rPr>
        <w:t xml:space="preserve"> sustainability of each technology. The results indicate that a process using DBU as a catalyst is the option with the best </w:t>
      </w:r>
      <w:r w:rsidR="006E6696" w:rsidRPr="0011794F">
        <w:rPr>
          <w:lang w:val="en-GB"/>
        </w:rPr>
        <w:t>trade-off</w:t>
      </w:r>
      <w:r w:rsidRPr="0011794F">
        <w:rPr>
          <w:lang w:val="en-GB"/>
        </w:rPr>
        <w:t xml:space="preserve"> </w:t>
      </w:r>
      <w:proofErr w:type="gramStart"/>
      <w:r w:rsidRPr="0011794F">
        <w:rPr>
          <w:lang w:val="en-GB"/>
        </w:rPr>
        <w:t>between  environmental</w:t>
      </w:r>
      <w:proofErr w:type="gramEnd"/>
      <w:r w:rsidRPr="0011794F">
        <w:rPr>
          <w:lang w:val="en-GB"/>
        </w:rPr>
        <w:t xml:space="preserve"> impacts, costs, and safety. This process shows cost</w:t>
      </w:r>
      <w:r w:rsidR="006E6696">
        <w:rPr>
          <w:lang w:val="en-GB"/>
        </w:rPr>
        <w:t>s</w:t>
      </w:r>
      <w:r w:rsidRPr="0011794F">
        <w:rPr>
          <w:lang w:val="en-GB"/>
        </w:rPr>
        <w:t xml:space="preserve"> and </w:t>
      </w:r>
      <w:r w:rsidR="006E6696">
        <w:rPr>
          <w:lang w:val="en-GB"/>
        </w:rPr>
        <w:t xml:space="preserve">environmental </w:t>
      </w:r>
      <w:r w:rsidRPr="0011794F">
        <w:rPr>
          <w:lang w:val="en-GB"/>
        </w:rPr>
        <w:t>impact reductions of up to 75% compared to other typical processes such as ATJ.</w:t>
      </w:r>
    </w:p>
    <w:p w14:paraId="144DE687" w14:textId="48262D5A" w:rsidR="008D2649" w:rsidRPr="0011794F" w:rsidRDefault="008D2649" w:rsidP="008D2649">
      <w:pPr>
        <w:pStyle w:val="Els-body-text"/>
        <w:spacing w:after="120"/>
        <w:rPr>
          <w:lang w:val="en-GB"/>
        </w:rPr>
      </w:pPr>
      <w:r w:rsidRPr="0011794F">
        <w:rPr>
          <w:b/>
          <w:bCs/>
          <w:lang w:val="en-GB"/>
        </w:rPr>
        <w:t>Keywords</w:t>
      </w:r>
      <w:r w:rsidRPr="0011794F">
        <w:rPr>
          <w:lang w:val="en-GB"/>
        </w:rPr>
        <w:t xml:space="preserve">: </w:t>
      </w:r>
      <w:r w:rsidR="00801C1B" w:rsidRPr="0011794F">
        <w:rPr>
          <w:lang w:val="en-GB"/>
        </w:rPr>
        <w:t xml:space="preserve">Furans to fuels, Furans to </w:t>
      </w:r>
      <w:proofErr w:type="gramStart"/>
      <w:r w:rsidR="00801C1B" w:rsidRPr="0011794F">
        <w:rPr>
          <w:lang w:val="en-GB"/>
        </w:rPr>
        <w:t>jet,  FTJ</w:t>
      </w:r>
      <w:proofErr w:type="gramEnd"/>
      <w:r w:rsidR="00801C1B" w:rsidRPr="0011794F">
        <w:rPr>
          <w:lang w:val="en-GB"/>
        </w:rPr>
        <w:t>, Biofuels</w:t>
      </w:r>
    </w:p>
    <w:p w14:paraId="144DE689" w14:textId="5BA3827A" w:rsidR="008D2649" w:rsidRPr="0011794F" w:rsidRDefault="00751806" w:rsidP="008D2649">
      <w:pPr>
        <w:pStyle w:val="Els-1storder-head"/>
      </w:pPr>
      <w:r w:rsidRPr="0011794F">
        <w:t>Introduction</w:t>
      </w:r>
    </w:p>
    <w:p w14:paraId="3CC682B2" w14:textId="50985110" w:rsidR="00751806" w:rsidRPr="0011794F" w:rsidRDefault="00751806" w:rsidP="008D2649">
      <w:pPr>
        <w:pStyle w:val="Els-body-text"/>
      </w:pPr>
      <w:r w:rsidRPr="0011794F">
        <w:t xml:space="preserve">Currently, there is a clear need to replace fossil fuel energy sources with renewable energy sources to address climate change accelerated by the accumulation of greenhouse gases and the increasing costs of oil extraction. </w:t>
      </w:r>
      <w:r w:rsidR="006E6696">
        <w:t>Data from the</w:t>
      </w:r>
      <w:r w:rsidR="006E6696" w:rsidRPr="006E6696">
        <w:t xml:space="preserve"> Energy Information Administration</w:t>
      </w:r>
      <w:r w:rsidR="006E6696">
        <w:t xml:space="preserve"> (IAE) indicate </w:t>
      </w:r>
      <w:proofErr w:type="gramStart"/>
      <w:r w:rsidR="006E6696">
        <w:t>that  t</w:t>
      </w:r>
      <w:r w:rsidRPr="0011794F">
        <w:t>he</w:t>
      </w:r>
      <w:proofErr w:type="gramEnd"/>
      <w:r w:rsidRPr="0011794F">
        <w:t xml:space="preserve"> transportation sector is highly dependent on fossil fuels, which accounted for 96.8% of all the energy required by this sector in 2018</w:t>
      </w:r>
      <w:r w:rsidR="006E6696">
        <w:t xml:space="preserve"> </w:t>
      </w:r>
      <w:r w:rsidR="006E6696" w:rsidRPr="0011794F">
        <w:t>(EIA, 2022)</w:t>
      </w:r>
      <w:r w:rsidRPr="0011794F">
        <w:t xml:space="preserve">. In the United States alone, the transportation sector annually consumes the equivalent of 37% of the generated energy, representing </w:t>
      </w:r>
      <w:r w:rsidR="005D52E0">
        <w:t xml:space="preserve">the emission </w:t>
      </w:r>
      <w:r w:rsidRPr="0011794F">
        <w:t>around 2000 million tons of carbon dioxide, surpassing emissions from other sectors</w:t>
      </w:r>
      <w:r w:rsidR="005D52E0">
        <w:t xml:space="preserve"> such as industrial or residential</w:t>
      </w:r>
      <w:r w:rsidRPr="0011794F">
        <w:t xml:space="preserve"> (E</w:t>
      </w:r>
      <w:r w:rsidR="00065C28" w:rsidRPr="0011794F">
        <w:t>IA</w:t>
      </w:r>
      <w:r w:rsidRPr="0011794F">
        <w:t xml:space="preserve">, 2022). To reduce the transportation sector's dependence on fossil fuels and decrease its greenhouse gas emissions, a process of electrifying the transportation sector has been initiated, </w:t>
      </w:r>
      <w:r w:rsidR="005D52E0">
        <w:t xml:space="preserve">where the </w:t>
      </w:r>
      <w:r w:rsidRPr="0011794F">
        <w:t>automotive sector</w:t>
      </w:r>
      <w:r w:rsidR="005D52E0">
        <w:t xml:space="preserve"> is the main driving force. </w:t>
      </w:r>
      <w:r w:rsidRPr="0011794F">
        <w:t xml:space="preserve"> </w:t>
      </w:r>
      <w:r w:rsidR="003900C9" w:rsidRPr="003900C9">
        <w:t xml:space="preserve">However, </w:t>
      </w:r>
      <w:r w:rsidR="003900C9" w:rsidRPr="003900C9">
        <w:lastRenderedPageBreak/>
        <w:t>electrification presents some disadvantages that have made its implementation impossible in some sectors of transportation, such as aviation. Some of these limitations are the power-to-weight ratio, the capacity for storage, and the power generated by batteries, as well as the lack of infrastructure for a fast implementation of electrification</w:t>
      </w:r>
      <w:r w:rsidRPr="0011794F">
        <w:t>. Therefore, the use of alternative energy sources, such as biofuels, emerges as a viable alternative to achieve a carbon-neutral or negative transportation sector</w:t>
      </w:r>
      <w:r w:rsidR="003900C9">
        <w:t xml:space="preserve"> (IRENA, 2021)</w:t>
      </w:r>
      <w:r w:rsidRPr="0011794F">
        <w:t>.</w:t>
      </w:r>
    </w:p>
    <w:p w14:paraId="093925C6" w14:textId="0BE4DB52" w:rsidR="005E7201" w:rsidRPr="0011794F" w:rsidRDefault="005E7201" w:rsidP="005E7201">
      <w:pPr>
        <w:pStyle w:val="Els-body-text"/>
      </w:pPr>
      <w:r w:rsidRPr="0011794F">
        <w:t xml:space="preserve">Despite the environmental and economic benefits of biofuels, their production remains expensive compared to fossil fuels. Although many studies have been conducted to improve biofuel production processes, most research efforts have focused on reducing production costs and finding new raw materials, rather than exploring new production routes (Ko et al., 2020). An alternative that has not been explored is the production of biofuels through the furan route, known as FTF (Furans to Fuels). The production of furans like furfural or HMF from lignocellulosic waste is widely known, and these bioproducts are already produced on an industrial scale, making them ideal raw materials for biofuel production. </w:t>
      </w:r>
      <w:r w:rsidR="003900C9">
        <w:t xml:space="preserve">In addition, this route is thermochemical, which means that biochemical routes are not required, thereby reducing in this way resident time and increasing the yields to fuels. Despite the benefits of this route, up to now, there has </w:t>
      </w:r>
      <w:proofErr w:type="gramStart"/>
      <w:r w:rsidR="003900C9">
        <w:t>been  not</w:t>
      </w:r>
      <w:proofErr w:type="gramEnd"/>
      <w:r w:rsidR="003900C9">
        <w:t xml:space="preserve"> reported a process for producing biofuels, such as bio-</w:t>
      </w:r>
      <w:proofErr w:type="spellStart"/>
      <w:r w:rsidR="003900C9">
        <w:t>jetfuel</w:t>
      </w:r>
      <w:proofErr w:type="spellEnd"/>
      <w:r w:rsidR="003900C9">
        <w:t xml:space="preserve">, using this route.   </w:t>
      </w:r>
      <w:r w:rsidRPr="0011794F">
        <w:t xml:space="preserve">Based on </w:t>
      </w:r>
      <w:r w:rsidR="009D442B" w:rsidRPr="0011794F">
        <w:t>aforementioned</w:t>
      </w:r>
      <w:r w:rsidRPr="0011794F">
        <w:t xml:space="preserve">, </w:t>
      </w:r>
      <w:r w:rsidR="003900C9">
        <w:t xml:space="preserve">in </w:t>
      </w:r>
      <w:r w:rsidRPr="0011794F">
        <w:t xml:space="preserve">this work </w:t>
      </w:r>
      <w:r w:rsidR="003900C9">
        <w:t xml:space="preserve">is </w:t>
      </w:r>
      <w:r w:rsidRPr="0011794F">
        <w:t>propose</w:t>
      </w:r>
      <w:r w:rsidR="003900C9">
        <w:t>d</w:t>
      </w:r>
      <w:r w:rsidRPr="0011794F">
        <w:t xml:space="preserve"> the synthesis, design, and simulation of a novel biofuel production process from these furans. This process consists of three stages: aldol condensation, hydrodeoxygenation (HDO), and hydrocarbon separation. In each stage, different catalysts and technologies are analyzed. The total annual cost, Eco-Indicator 99, and individual risk were considered as metrics to evaluate the economic, environmental, and safety aspects of the different process options. These indicators were selected according to the 12 principles of sustainability proposed by Jimenez Gonzalez and Constable (2011).</w:t>
      </w:r>
    </w:p>
    <w:p w14:paraId="144DE699" w14:textId="7B5B73A0" w:rsidR="008D2649" w:rsidRPr="0011794F" w:rsidRDefault="006027BB" w:rsidP="008D2649">
      <w:pPr>
        <w:pStyle w:val="Els-1storder-head"/>
      </w:pPr>
      <w:r w:rsidRPr="0011794F">
        <w:t>Methodology</w:t>
      </w:r>
    </w:p>
    <w:p w14:paraId="0238CB66" w14:textId="5CA52D0F" w:rsidR="000D2D6F" w:rsidRPr="0011794F" w:rsidRDefault="009D442B" w:rsidP="008D2649">
      <w:pPr>
        <w:pStyle w:val="Els-body-text"/>
      </w:pPr>
      <w:r w:rsidRPr="0011794F">
        <w:t>In this study, furfural was considered as the main furan produced from lignocellulosic residues</w:t>
      </w:r>
      <w:r w:rsidR="000D2D6F" w:rsidRPr="0011794F">
        <w:t>:</w:t>
      </w:r>
      <w:r w:rsidRPr="0011794F">
        <w:t xml:space="preserve"> therefore, it was used as the main raw material for this novel process. It is important to note that this work does not consider the production of furfural from biomass, since this production has been extensively </w:t>
      </w:r>
      <w:r w:rsidR="000759E8">
        <w:t>explored</w:t>
      </w:r>
      <w:r w:rsidRPr="0011794F">
        <w:t xml:space="preserve"> in previous studies. The process for producing biofuels from furfural consists of three stages</w:t>
      </w:r>
      <w:r w:rsidR="000D2D6F" w:rsidRPr="0011794F">
        <w:t xml:space="preserve">: aldol condensation, hydrodeoxygenation (HDO), and a separation stage. </w:t>
      </w:r>
      <w:r w:rsidR="00393D03" w:rsidRPr="0011794F">
        <w:t>Th</w:t>
      </w:r>
      <w:r w:rsidR="000759E8">
        <w:t xml:space="preserve">is </w:t>
      </w:r>
      <w:r w:rsidR="00393D03" w:rsidRPr="0011794F">
        <w:t>process was designed and simulated using the Aspen Plus software.</w:t>
      </w:r>
      <w:r w:rsidR="00662A2C" w:rsidRPr="0011794F">
        <w:t xml:space="preserve"> The design was performed in order to minimize the energy </w:t>
      </w:r>
      <w:r w:rsidR="00B507C6" w:rsidRPr="0011794F">
        <w:t>requirement</w:t>
      </w:r>
      <w:r w:rsidR="000759E8">
        <w:t>, w</w:t>
      </w:r>
      <w:r w:rsidR="000759E8" w:rsidRPr="000759E8">
        <w:t>hich is directly related to lower operating costs</w:t>
      </w:r>
      <w:r w:rsidR="00662A2C" w:rsidRPr="0011794F">
        <w:t xml:space="preserve">. </w:t>
      </w:r>
      <w:r w:rsidR="00393D03" w:rsidRPr="0011794F">
        <w:t xml:space="preserve"> Due to the difference temperature and pressure conditions of each stage, as well as the compounds involved, the Carlson's algorithm was used to determine the most suitable thermodynamic model for each stage</w:t>
      </w:r>
      <w:r w:rsidR="00662A2C" w:rsidRPr="0011794F">
        <w:t xml:space="preserve"> </w:t>
      </w:r>
      <w:r w:rsidR="00393D03" w:rsidRPr="0011794F">
        <w:t>(Carlson, 1996).</w:t>
      </w:r>
    </w:p>
    <w:p w14:paraId="7032B7DA" w14:textId="5E2713DF" w:rsidR="00D102F8" w:rsidRPr="0011794F" w:rsidRDefault="00B507C6" w:rsidP="008D2649">
      <w:pPr>
        <w:pStyle w:val="Els-body-text"/>
      </w:pPr>
      <w:r>
        <w:t xml:space="preserve">During </w:t>
      </w:r>
      <w:r w:rsidR="009D442B" w:rsidRPr="0011794F">
        <w:t xml:space="preserve">the aldol condensation stage, furfural and </w:t>
      </w:r>
      <w:r w:rsidR="00EC50A7" w:rsidRPr="0011794F">
        <w:t>a</w:t>
      </w:r>
      <w:r w:rsidR="009D442B" w:rsidRPr="0011794F">
        <w:t xml:space="preserve"> </w:t>
      </w:r>
      <w:r w:rsidR="000D2D6F" w:rsidRPr="0011794F">
        <w:t>ketone compound</w:t>
      </w:r>
      <w:r w:rsidR="009D442B" w:rsidRPr="0011794F">
        <w:t xml:space="preserve"> (commonly acetone) react in the presence of basic catalysts and solvents, generating higher molecular weight oxygenated compounds called adducts. These reactions </w:t>
      </w:r>
      <w:r w:rsidR="000D2D6F" w:rsidRPr="0011794F">
        <w:t>can be</w:t>
      </w:r>
      <w:r w:rsidR="009D442B" w:rsidRPr="0011794F">
        <w:t xml:space="preserve"> carried out at conditions of 1 atm </w:t>
      </w:r>
      <w:proofErr w:type="gramStart"/>
      <w:r w:rsidR="009D442B" w:rsidRPr="0011794F">
        <w:t xml:space="preserve">and </w:t>
      </w:r>
      <w:r>
        <w:t xml:space="preserve"> temperatures</w:t>
      </w:r>
      <w:proofErr w:type="gramEnd"/>
      <w:r>
        <w:t xml:space="preserve"> </w:t>
      </w:r>
      <w:r w:rsidR="009D442B" w:rsidRPr="0011794F">
        <w:t>between 25</w:t>
      </w:r>
      <w:r w:rsidR="00655CAF">
        <w:t xml:space="preserve"> </w:t>
      </w:r>
      <w:r w:rsidR="009D442B" w:rsidRPr="0011794F">
        <w:t xml:space="preserve">°C and </w:t>
      </w:r>
      <w:r w:rsidR="00EC50A7" w:rsidRPr="0011794F">
        <w:t>58</w:t>
      </w:r>
      <w:r w:rsidR="00655CAF">
        <w:t xml:space="preserve"> </w:t>
      </w:r>
      <w:r w:rsidR="009D442B" w:rsidRPr="0011794F">
        <w:t>°C</w:t>
      </w:r>
      <w:r w:rsidR="00EC50A7" w:rsidRPr="0011794F">
        <w:t xml:space="preserve"> </w:t>
      </w:r>
      <w:r>
        <w:t xml:space="preserve">to </w:t>
      </w:r>
      <w:r w:rsidR="00EC50A7" w:rsidRPr="0011794F">
        <w:t xml:space="preserve"> guarantee that the </w:t>
      </w:r>
      <w:r>
        <w:t>ketone</w:t>
      </w:r>
      <w:r w:rsidR="00EC50A7" w:rsidRPr="0011794F">
        <w:t xml:space="preserve"> remains in the liquid phase</w:t>
      </w:r>
      <w:r w:rsidR="009D442B" w:rsidRPr="0011794F">
        <w:t xml:space="preserve">. </w:t>
      </w:r>
      <w:r w:rsidR="00662A2C" w:rsidRPr="0011794F">
        <w:t>In this stage three different catalyst were studied</w:t>
      </w:r>
      <w:r w:rsidR="00655CAF">
        <w:t>:</w:t>
      </w:r>
      <w:r w:rsidR="00662A2C" w:rsidRPr="0011794F">
        <w:t xml:space="preserve"> dolomite, sodium hydroxide solutions, and 1,8-</w:t>
      </w:r>
      <w:proofErr w:type="gramStart"/>
      <w:r w:rsidR="00662A2C" w:rsidRPr="0011794F">
        <w:t>Diazabicyclo[</w:t>
      </w:r>
      <w:proofErr w:type="gramEnd"/>
      <w:r w:rsidR="00662A2C" w:rsidRPr="0011794F">
        <w:t xml:space="preserve">5.4.0]undec-7-ene (DBU). A CSTR reactor was considered to carry out the reactions in this stage. The kinetic model for all the catalysts fits to the Arrhenius equation behavior and were taken from </w:t>
      </w:r>
      <w:r w:rsidR="00662A2C" w:rsidRPr="0011794F">
        <w:rPr>
          <w:noProof/>
        </w:rPr>
        <w:t>O’Neill et al., 2014 and Jiang et al., 2018</w:t>
      </w:r>
      <w:r w:rsidR="00662A2C" w:rsidRPr="0011794F">
        <w:t>.</w:t>
      </w:r>
      <w:r w:rsidR="005C0978">
        <w:t xml:space="preserve"> </w:t>
      </w:r>
      <w:r w:rsidR="005C0978" w:rsidRPr="005C0978">
        <w:t>After producing the adducts, it's necessary to eliminate the oxygen in these compounds. Additionally, the double bonds must be removed</w:t>
      </w:r>
      <w:r w:rsidR="005C0978">
        <w:t xml:space="preserve"> to </w:t>
      </w:r>
      <w:r w:rsidR="005C0978">
        <w:lastRenderedPageBreak/>
        <w:t xml:space="preserve">generate saturated compounds. </w:t>
      </w:r>
      <w:r w:rsidR="005C0978" w:rsidRPr="005C0978">
        <w:t>This</w:t>
      </w:r>
      <w:r w:rsidR="005C0978">
        <w:t xml:space="preserve"> </w:t>
      </w:r>
      <w:r w:rsidR="005C0978" w:rsidRPr="005C0978">
        <w:t xml:space="preserve">is essential to achieve the specific physicochemical properties needed for certain biofuels, like </w:t>
      </w:r>
      <w:proofErr w:type="spellStart"/>
      <w:r w:rsidR="005C0978" w:rsidRPr="005C0978">
        <w:t>biojet</w:t>
      </w:r>
      <w:proofErr w:type="spellEnd"/>
      <w:r w:rsidR="005C0978" w:rsidRPr="005C0978">
        <w:t xml:space="preserve"> </w:t>
      </w:r>
      <w:r w:rsidR="005C0978">
        <w:t>-</w:t>
      </w:r>
      <w:r w:rsidR="005C0978" w:rsidRPr="005C0978">
        <w:t>fuel, to meet ASTM standards.</w:t>
      </w:r>
      <w:r w:rsidR="005C0978">
        <w:t xml:space="preserve"> </w:t>
      </w:r>
      <w:r w:rsidR="00EC50A7" w:rsidRPr="0011794F">
        <w:t>This oxygen and double bond re</w:t>
      </w:r>
      <w:r w:rsidR="002234BF" w:rsidRPr="0011794F">
        <w:t>moval</w:t>
      </w:r>
      <w:r w:rsidR="00EC50A7" w:rsidRPr="0011794F">
        <w:t xml:space="preserve"> is performed by means of </w:t>
      </w:r>
      <w:r w:rsidR="002234BF" w:rsidRPr="0011794F">
        <w:t xml:space="preserve">the </w:t>
      </w:r>
      <w:r w:rsidR="00EC50A7" w:rsidRPr="0011794F">
        <w:t>hydrodeoxygenation stage, where hydrogen is added</w:t>
      </w:r>
      <w:r w:rsidR="002234BF" w:rsidRPr="0011794F">
        <w:t xml:space="preserve">. </w:t>
      </w:r>
      <w:r w:rsidR="009D442B" w:rsidRPr="0011794F">
        <w:t xml:space="preserve">The oxygen reacts with the hydrogen to form water. </w:t>
      </w:r>
      <w:r w:rsidR="002234BF" w:rsidRPr="0011794F">
        <w:t xml:space="preserve">This reactive stage can be </w:t>
      </w:r>
      <w:r w:rsidR="00393D03" w:rsidRPr="0011794F">
        <w:t>performed</w:t>
      </w:r>
      <w:r w:rsidR="002234BF" w:rsidRPr="0011794F">
        <w:t xml:space="preserve"> </w:t>
      </w:r>
      <w:r w:rsidR="00393D03" w:rsidRPr="0011794F">
        <w:t>i</w:t>
      </w:r>
      <w:r w:rsidR="002234BF" w:rsidRPr="0011794F">
        <w:t xml:space="preserve">n a fixed bed reactor </w:t>
      </w:r>
      <w:r w:rsidR="00393D03" w:rsidRPr="0011794F">
        <w:t>over</w:t>
      </w:r>
      <w:r w:rsidR="002234BF" w:rsidRPr="0011794F">
        <w:t xml:space="preserve"> a Nickel- Platinum </w:t>
      </w:r>
      <w:r w:rsidR="00393D03" w:rsidRPr="0011794F">
        <w:t xml:space="preserve">supported on alumina </w:t>
      </w:r>
      <w:r w:rsidR="002234BF" w:rsidRPr="0011794F">
        <w:t xml:space="preserve">catalyst, at conditions of 10 to 50 atm and 200 to 400 °C. The kinetic parameters used to </w:t>
      </w:r>
      <w:r w:rsidR="00393D03" w:rsidRPr="0011794F">
        <w:t>design</w:t>
      </w:r>
      <w:r w:rsidR="002234BF" w:rsidRPr="0011794F">
        <w:t xml:space="preserve"> and simulat</w:t>
      </w:r>
      <w:r w:rsidR="00A837AE" w:rsidRPr="0011794F">
        <w:t>e</w:t>
      </w:r>
      <w:r w:rsidR="002234BF" w:rsidRPr="0011794F">
        <w:t xml:space="preserve"> this equipment </w:t>
      </w:r>
      <w:r w:rsidR="00A837AE" w:rsidRPr="0011794F">
        <w:t>were</w:t>
      </w:r>
      <w:r w:rsidR="002234BF" w:rsidRPr="0011794F">
        <w:t xml:space="preserve"> taken from </w:t>
      </w:r>
      <w:r w:rsidR="00393D03" w:rsidRPr="0011794F">
        <w:t>Faba et al,</w:t>
      </w:r>
      <w:r w:rsidR="005C0978">
        <w:t xml:space="preserve"> (2016)</w:t>
      </w:r>
      <w:r w:rsidR="00393D03" w:rsidRPr="0011794F">
        <w:t xml:space="preserve"> whereas the missing kine</w:t>
      </w:r>
      <w:r w:rsidR="0053183E" w:rsidRPr="0011794F">
        <w:t>tic</w:t>
      </w:r>
      <w:r w:rsidR="00393D03" w:rsidRPr="0011794F">
        <w:t xml:space="preserve"> parameters were </w:t>
      </w:r>
      <w:r w:rsidR="00A837AE" w:rsidRPr="0011794F">
        <w:t>estimated</w:t>
      </w:r>
      <w:r w:rsidR="00393D03" w:rsidRPr="0011794F">
        <w:t xml:space="preserve"> using the methodology proposed by Sánchez-Ramírez et al., </w:t>
      </w:r>
      <w:r w:rsidR="0095076C" w:rsidRPr="0011794F">
        <w:t>(</w:t>
      </w:r>
      <w:r w:rsidR="00393D03" w:rsidRPr="0011794F">
        <w:t>2022</w:t>
      </w:r>
      <w:r w:rsidR="0095076C" w:rsidRPr="0011794F">
        <w:t>)</w:t>
      </w:r>
      <w:r w:rsidR="00393D03" w:rsidRPr="0011794F">
        <w:t>. Owing to the high pressures and temperatures required in this stage, the thermodynamic model used to simulate it was the Soave-Redlich</w:t>
      </w:r>
      <w:r w:rsidR="00A837AE" w:rsidRPr="0011794F">
        <w:t>-</w:t>
      </w:r>
      <w:r w:rsidR="00393D03" w:rsidRPr="0011794F">
        <w:t xml:space="preserve">Kwong model. </w:t>
      </w:r>
    </w:p>
    <w:p w14:paraId="70DCF0E5" w14:textId="1F6D9DF4" w:rsidR="00A837AE" w:rsidRPr="0011794F" w:rsidRDefault="00D102F8" w:rsidP="008D2649">
      <w:pPr>
        <w:pStyle w:val="Els-body-text"/>
      </w:pPr>
      <w:r w:rsidRPr="0011794F">
        <w:t xml:space="preserve">During the HDO stage, water, unreacted hydrogen, and </w:t>
      </w:r>
      <w:proofErr w:type="gramStart"/>
      <w:r w:rsidRPr="0011794F">
        <w:t>hydrocarbons</w:t>
      </w:r>
      <w:r w:rsidR="00655CAF">
        <w:t>(</w:t>
      </w:r>
      <w:proofErr w:type="gramEnd"/>
      <w:r w:rsidRPr="0011794F">
        <w:t>mainly octanes and tridecanes</w:t>
      </w:r>
      <w:r w:rsidR="00655CAF">
        <w:t>)</w:t>
      </w:r>
      <w:r w:rsidRPr="0011794F">
        <w:t xml:space="preserve"> are produced. The unreacted hydrogen is separated from the mixture using flash distillation. On the other hand, the water can be separated from the organic mixture using an azeotropic distillation column, due to the presence of azeotropes and two liquid phases. The azeotropic distillation process was proposed and designed according to the previous work reported by Contreras-Zarazua et al.</w:t>
      </w:r>
      <w:r w:rsidR="005C0978">
        <w:t xml:space="preserve"> (2018)</w:t>
      </w:r>
      <w:r w:rsidRPr="0011794F">
        <w:t xml:space="preserve"> in order to obtain anhydrous hydrocarbons. Once the water is removed, the hydrocarbons can be separated into different cuts using conventional distillation columns. The azeotropic distillation system was simulated using the NRTL-RK thermodynamic model due to the presence of organic compounds and water. On the other hand, the flash tank and the conventional distillation sequence were simulated using the Peng-Robinson method. Both thermodynamic models were chosen according to Carlson’s algorithm. Figure 1 shows a flowsheet of the novel proposed process.</w:t>
      </w:r>
    </w:p>
    <w:p w14:paraId="12828EAD" w14:textId="77777777" w:rsidR="00662A2C" w:rsidRPr="0011794F" w:rsidRDefault="00662A2C" w:rsidP="008D2649">
      <w:pPr>
        <w:pStyle w:val="Els-body-text"/>
      </w:pPr>
    </w:p>
    <w:p w14:paraId="0FEE4EB3" w14:textId="62666C9B" w:rsidR="00662A2C" w:rsidRDefault="00662A2C" w:rsidP="00ED0AAC">
      <w:pPr>
        <w:pStyle w:val="Els-body-text"/>
      </w:pPr>
    </w:p>
    <w:p w14:paraId="56336E46" w14:textId="2D1889C8" w:rsidR="00815417" w:rsidRPr="0011794F" w:rsidRDefault="00815417" w:rsidP="00A375FF">
      <w:pPr>
        <w:pStyle w:val="Els-body-text"/>
        <w:jc w:val="center"/>
      </w:pPr>
      <w:r>
        <w:rPr>
          <w:noProof/>
        </w:rPr>
        <w:drawing>
          <wp:inline distT="0" distB="0" distL="0" distR="0" wp14:anchorId="216A8F8E" wp14:editId="5206EB77">
            <wp:extent cx="4499610" cy="1062355"/>
            <wp:effectExtent l="0" t="0" r="0" b="4445"/>
            <wp:docPr id="859310603"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310603" name="Imagen 1" descr="Diagrama&#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99610" cy="1062355"/>
                    </a:xfrm>
                    <a:prstGeom prst="rect">
                      <a:avLst/>
                    </a:prstGeom>
                  </pic:spPr>
                </pic:pic>
              </a:graphicData>
            </a:graphic>
          </wp:inline>
        </w:drawing>
      </w:r>
    </w:p>
    <w:p w14:paraId="3B6BEFA3" w14:textId="233E6811" w:rsidR="00662A2C" w:rsidRPr="0011794F" w:rsidRDefault="00662A2C" w:rsidP="00662A2C">
      <w:pPr>
        <w:pStyle w:val="Els-body-text"/>
        <w:jc w:val="center"/>
      </w:pPr>
      <w:r w:rsidRPr="0011794F">
        <w:t>Figure 1. Process flowsheet for producing biofuels from furfural</w:t>
      </w:r>
    </w:p>
    <w:p w14:paraId="4CC12870" w14:textId="77777777" w:rsidR="00A837AE" w:rsidRPr="0011794F" w:rsidRDefault="00A837AE" w:rsidP="008D2649">
      <w:pPr>
        <w:pStyle w:val="Els-body-text"/>
      </w:pPr>
    </w:p>
    <w:p w14:paraId="42CD2315" w14:textId="5F29C415" w:rsidR="006027BB" w:rsidRPr="0011794F" w:rsidRDefault="006027BB" w:rsidP="008D2649">
      <w:pPr>
        <w:pStyle w:val="Els-body-text"/>
      </w:pPr>
      <w:r w:rsidRPr="0011794F">
        <w:t>As aforementioned, the Total Annual Cost (TAC), Eco-Indicator 99, and Individual Risks were the metrics selected to evaluate the economic, environmental, and safety aspects of the different process options. The Total Annual Cost is as shown below:</w:t>
      </w:r>
    </w:p>
    <w:p w14:paraId="12B87017" w14:textId="77777777" w:rsidR="00AF1451" w:rsidRPr="0011794F" w:rsidRDefault="00AF1451" w:rsidP="008D2649">
      <w:pPr>
        <w:pStyle w:val="Els-body-text"/>
      </w:pPr>
    </w:p>
    <w:tbl>
      <w:tblPr>
        <w:tblStyle w:val="Grigliatabella"/>
        <w:tblW w:w="7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3"/>
        <w:gridCol w:w="1474"/>
      </w:tblGrid>
      <w:tr w:rsidR="00BF3CD4" w:rsidRPr="0011794F" w14:paraId="307EDC60" w14:textId="77777777" w:rsidTr="000A5B50">
        <w:tc>
          <w:tcPr>
            <w:tcW w:w="5613" w:type="dxa"/>
            <w:vAlign w:val="center"/>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0"/>
              <w:gridCol w:w="1097"/>
            </w:tblGrid>
            <w:tr w:rsidR="00BF3CD4" w:rsidRPr="0011794F" w14:paraId="267D8AF8" w14:textId="77777777" w:rsidTr="000A5B50">
              <w:tc>
                <w:tcPr>
                  <w:tcW w:w="6204" w:type="dxa"/>
                </w:tcPr>
                <w:p w14:paraId="7F8113E8" w14:textId="77777777" w:rsidR="00BF3CD4" w:rsidRPr="0011794F" w:rsidRDefault="00BF3CD4" w:rsidP="000A5B50">
                  <w:pPr>
                    <w:spacing w:line="360" w:lineRule="auto"/>
                    <w:jc w:val="center"/>
                    <w:rPr>
                      <w:rFonts w:ascii="Times New Roman" w:hAnsi="Times New Roman"/>
                    </w:rPr>
                  </w:pPr>
                  <w:r w:rsidRPr="0011794F">
                    <w:rPr>
                      <w:rFonts w:ascii="Times New Roman" w:eastAsia="Times New Roman" w:hAnsi="Times New Roman" w:cs="Times New Roman"/>
                      <w:b/>
                      <w:bCs/>
                      <w:sz w:val="20"/>
                      <w:szCs w:val="20"/>
                      <w:lang w:val="en-GB"/>
                    </w:rPr>
                    <w:object w:dxaOrig="3879" w:dyaOrig="680" w14:anchorId="537D0D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8pt;height:29.4pt" o:ole="">
                        <v:imagedata r:id="rId10" o:title=""/>
                      </v:shape>
                      <o:OLEObject Type="Embed" ProgID="Equation.DSMT4" ShapeID="_x0000_i1025" DrawAspect="Content" ObjectID="_1767428694" r:id="rId11"/>
                    </w:object>
                  </w:r>
                </w:p>
              </w:tc>
              <w:tc>
                <w:tcPr>
                  <w:tcW w:w="2774" w:type="dxa"/>
                </w:tcPr>
                <w:p w14:paraId="15E5A87D" w14:textId="77777777" w:rsidR="00BF3CD4" w:rsidRPr="0011794F" w:rsidRDefault="00BF3CD4" w:rsidP="000A5B50">
                  <w:pPr>
                    <w:spacing w:line="360" w:lineRule="auto"/>
                    <w:jc w:val="both"/>
                    <w:rPr>
                      <w:rFonts w:ascii="Times New Roman" w:hAnsi="Times New Roman"/>
                    </w:rPr>
                  </w:pPr>
                </w:p>
              </w:tc>
            </w:tr>
          </w:tbl>
          <w:p w14:paraId="3949117A" w14:textId="77777777" w:rsidR="00BF3CD4" w:rsidRPr="0011794F" w:rsidRDefault="00BF3CD4" w:rsidP="000A5B50">
            <w:pPr>
              <w:jc w:val="center"/>
              <w:rPr>
                <w:rFonts w:ascii="Times New Roman" w:hAnsi="Times New Roman" w:cs="Times New Roman"/>
                <w:szCs w:val="24"/>
              </w:rPr>
            </w:pPr>
          </w:p>
        </w:tc>
        <w:tc>
          <w:tcPr>
            <w:tcW w:w="1474" w:type="dxa"/>
            <w:vAlign w:val="center"/>
          </w:tcPr>
          <w:p w14:paraId="433056CD" w14:textId="77777777" w:rsidR="00BF3CD4" w:rsidRPr="0011794F" w:rsidRDefault="00BF3CD4" w:rsidP="000A5B50">
            <w:pPr>
              <w:jc w:val="center"/>
              <w:rPr>
                <w:rFonts w:ascii="Times New Roman" w:hAnsi="Times New Roman" w:cs="Times New Roman"/>
                <w:sz w:val="20"/>
                <w:szCs w:val="20"/>
              </w:rPr>
            </w:pPr>
            <w:r w:rsidRPr="0011794F">
              <w:rPr>
                <w:rFonts w:ascii="Times New Roman" w:hAnsi="Times New Roman" w:cs="Times New Roman"/>
                <w:sz w:val="20"/>
                <w:szCs w:val="20"/>
              </w:rPr>
              <w:t>(1)</w:t>
            </w:r>
          </w:p>
        </w:tc>
      </w:tr>
    </w:tbl>
    <w:p w14:paraId="70FAAD25" w14:textId="71947D38" w:rsidR="00AF1451" w:rsidRPr="0011794F" w:rsidRDefault="00BF3CD4" w:rsidP="008D2649">
      <w:pPr>
        <w:pStyle w:val="Els-body-text"/>
      </w:pPr>
      <w:r w:rsidRPr="0011794F">
        <w:t>The TAC was calculated using Guthrie's method, considering a payback period of 10 years. Stainless steel was considered as the construction material.</w:t>
      </w:r>
      <w:r w:rsidR="00F61512">
        <w:t xml:space="preserve"> The costs were upgraded to the year 2023 using the chemical engineering plant cost index (CEPCI) </w:t>
      </w:r>
      <w:proofErr w:type="gramStart"/>
      <w:r w:rsidR="00F61512">
        <w:t>of  816</w:t>
      </w:r>
      <w:proofErr w:type="gramEnd"/>
      <w:r w:rsidR="00F61512">
        <w:t xml:space="preserve">.  The base costs </w:t>
      </w:r>
      <w:proofErr w:type="gramStart"/>
      <w:r w:rsidR="00F61512">
        <w:t>corresponds</w:t>
      </w:r>
      <w:proofErr w:type="gramEnd"/>
      <w:r w:rsidR="00F61512">
        <w:t xml:space="preserve"> to the year 2003 (CEPCI= 382)</w:t>
      </w:r>
      <w:r w:rsidR="00B7216A">
        <w:t>.</w:t>
      </w:r>
      <w:r w:rsidR="00F61512">
        <w:t xml:space="preserve"> </w:t>
      </w:r>
      <w:r w:rsidRPr="0011794F">
        <w:t xml:space="preserve"> The necessary equations for estimating costs were taken from Turton et al., (2018). The operating costs were calculated considering 8500 hours of plant operation per year. Additionally, the </w:t>
      </w:r>
      <w:r w:rsidRPr="0011794F">
        <w:lastRenderedPageBreak/>
        <w:t>following costs for services were considered: Cooling water ($0.355/USD/GJ), electricity ($16.8 USD/kWh), and Fired heat ($20.92 USD/GJ)</w:t>
      </w:r>
      <w:r w:rsidR="00F61512">
        <w:t xml:space="preserve"> </w:t>
      </w:r>
      <w:r w:rsidR="00F61512" w:rsidRPr="0011794F">
        <w:t>Turton et al., (2018)</w:t>
      </w:r>
      <w:r w:rsidRPr="0011794F">
        <w:t>.</w:t>
      </w:r>
    </w:p>
    <w:p w14:paraId="39F4A6A3" w14:textId="79A98E28" w:rsidR="00BF3CD4" w:rsidRPr="0011794F" w:rsidRDefault="00BF3CD4" w:rsidP="008D2649">
      <w:pPr>
        <w:pStyle w:val="Els-body-text"/>
      </w:pPr>
    </w:p>
    <w:p w14:paraId="78BF97A7" w14:textId="1995F926" w:rsidR="00BF3CD4" w:rsidRPr="0011794F" w:rsidRDefault="00BF3CD4" w:rsidP="008D2649">
      <w:pPr>
        <w:pStyle w:val="Els-body-text"/>
      </w:pPr>
      <w:r w:rsidRPr="0011794F">
        <w:t xml:space="preserve">The Eco-Indicator 99 was the metric used to assess environmental impact, which is a life cycle methodology. The calculation for the eco-indicator was carried out according to what was reported by Contreras-Zarazua et al. </w:t>
      </w:r>
      <w:r w:rsidR="00A375FF" w:rsidRPr="0011794F">
        <w:t>(</w:t>
      </w:r>
      <w:r w:rsidRPr="0011794F">
        <w:t>2020</w:t>
      </w:r>
      <w:r w:rsidR="00A375FF" w:rsidRPr="0011794F">
        <w:t>)</w:t>
      </w:r>
      <w:r w:rsidRPr="0011794F">
        <w:t xml:space="preserve"> The mathematical formula used to calculate the Eco-Indicator 99 is as follows:</w:t>
      </w:r>
    </w:p>
    <w:tbl>
      <w:tblPr>
        <w:tblW w:w="7077" w:type="dxa"/>
        <w:jc w:val="center"/>
        <w:tblLook w:val="04A0" w:firstRow="1" w:lastRow="0" w:firstColumn="1" w:lastColumn="0" w:noHBand="0" w:noVBand="1"/>
      </w:tblPr>
      <w:tblGrid>
        <w:gridCol w:w="3569"/>
        <w:gridCol w:w="3508"/>
      </w:tblGrid>
      <w:tr w:rsidR="00BF3CD4" w:rsidRPr="0011794F" w14:paraId="2CD5E082" w14:textId="77777777" w:rsidTr="000A5B50">
        <w:trPr>
          <w:trHeight w:val="297"/>
          <w:jc w:val="center"/>
        </w:trPr>
        <w:tc>
          <w:tcPr>
            <w:tcW w:w="3569" w:type="dxa"/>
            <w:shd w:val="clear" w:color="auto" w:fill="auto"/>
          </w:tcPr>
          <w:p w14:paraId="31591E82" w14:textId="77777777" w:rsidR="00BF3CD4" w:rsidRPr="0011794F" w:rsidRDefault="00BF3CD4" w:rsidP="000A5B50">
            <w:pPr>
              <w:spacing w:after="240"/>
              <w:jc w:val="both"/>
              <w:rPr>
                <w:lang w:val="en-US"/>
              </w:rPr>
            </w:pPr>
            <w:r w:rsidRPr="0011794F">
              <w:rPr>
                <w:rFonts w:eastAsia="Calibri"/>
                <w:color w:val="000000"/>
                <w:position w:val="-28"/>
                <w:lang w:val="en-US"/>
              </w:rPr>
              <w:object w:dxaOrig="2740" w:dyaOrig="540" w14:anchorId="6E5AED93">
                <v:shape id="_x0000_i1026" type="#_x0000_t75" style="width:98.4pt;height:21pt" o:ole="">
                  <v:imagedata r:id="rId12" o:title=""/>
                </v:shape>
                <o:OLEObject Type="Embed" ProgID="Equation.DSMT4" ShapeID="_x0000_i1026" DrawAspect="Content" ObjectID="_1767428695" r:id="rId13"/>
              </w:object>
            </w:r>
          </w:p>
        </w:tc>
        <w:tc>
          <w:tcPr>
            <w:tcW w:w="3508" w:type="dxa"/>
            <w:shd w:val="clear" w:color="auto" w:fill="auto"/>
          </w:tcPr>
          <w:p w14:paraId="42F42FAD" w14:textId="77777777" w:rsidR="00BF3CD4" w:rsidRPr="0011794F" w:rsidRDefault="00BF3CD4" w:rsidP="000A5B50">
            <w:pPr>
              <w:spacing w:after="240"/>
              <w:jc w:val="right"/>
              <w:rPr>
                <w:lang w:val="en-US"/>
              </w:rPr>
            </w:pPr>
            <w:r w:rsidRPr="0011794F">
              <w:rPr>
                <w:lang w:val="en-US"/>
              </w:rPr>
              <w:t>(2)</w:t>
            </w:r>
          </w:p>
        </w:tc>
      </w:tr>
    </w:tbl>
    <w:p w14:paraId="09CCEE2D" w14:textId="5EB2B1A8" w:rsidR="00AF1451" w:rsidRPr="0011794F" w:rsidRDefault="00BF3CD4" w:rsidP="00BF3CD4">
      <w:pPr>
        <w:pStyle w:val="Els-body-text"/>
      </w:pPr>
      <w:r w:rsidRPr="0011794F">
        <w:t xml:space="preserve">Where, </w:t>
      </w:r>
      <w:r w:rsidRPr="0011794F">
        <w:rPr>
          <w:i/>
        </w:rPr>
        <w:t>β</w:t>
      </w:r>
      <w:r w:rsidRPr="0011794F">
        <w:rPr>
          <w:i/>
          <w:vertAlign w:val="subscript"/>
        </w:rPr>
        <w:t>b</w:t>
      </w:r>
      <w:r w:rsidRPr="0011794F">
        <w:t xml:space="preserve"> represents the total amount of chemical b released per unit of reference flow due to direct emissions, </w:t>
      </w:r>
      <w:r w:rsidRPr="0011794F">
        <w:rPr>
          <w:i/>
        </w:rPr>
        <w:t>α</w:t>
      </w:r>
      <w:proofErr w:type="spellStart"/>
      <w:proofErr w:type="gramStart"/>
      <w:r w:rsidRPr="0011794F">
        <w:rPr>
          <w:i/>
          <w:vertAlign w:val="subscript"/>
        </w:rPr>
        <w:t>b,k</w:t>
      </w:r>
      <w:proofErr w:type="spellEnd"/>
      <w:proofErr w:type="gramEnd"/>
      <w:r w:rsidRPr="0011794F">
        <w:t xml:space="preserve"> is the damage caused in category </w:t>
      </w:r>
      <w:r w:rsidRPr="0011794F">
        <w:rPr>
          <w:i/>
        </w:rPr>
        <w:t>k</w:t>
      </w:r>
      <w:r w:rsidRPr="0011794F">
        <w:t xml:space="preserve"> per unit of chemical </w:t>
      </w:r>
      <w:r w:rsidRPr="0011794F">
        <w:rPr>
          <w:i/>
        </w:rPr>
        <w:t xml:space="preserve">b </w:t>
      </w:r>
      <w:r w:rsidRPr="0011794F">
        <w:t xml:space="preserve">released into the environment, </w:t>
      </w:r>
      <w:proofErr w:type="spellStart"/>
      <w:r w:rsidRPr="0011794F">
        <w:rPr>
          <w:i/>
        </w:rPr>
        <w:t>ω</w:t>
      </w:r>
      <w:r w:rsidRPr="0011794F">
        <w:rPr>
          <w:i/>
          <w:vertAlign w:val="subscript"/>
        </w:rPr>
        <w:t>d</w:t>
      </w:r>
      <w:proofErr w:type="spellEnd"/>
      <w:r w:rsidRPr="0011794F">
        <w:rPr>
          <w:i/>
        </w:rPr>
        <w:t xml:space="preserve"> </w:t>
      </w:r>
      <w:r w:rsidRPr="0011794F">
        <w:t xml:space="preserve">is the weighting factor for damage in category </w:t>
      </w:r>
      <w:r w:rsidRPr="0011794F">
        <w:rPr>
          <w:i/>
        </w:rPr>
        <w:t>d</w:t>
      </w:r>
      <w:r w:rsidRPr="0011794F">
        <w:t xml:space="preserve">, and </w:t>
      </w:r>
      <w:proofErr w:type="spellStart"/>
      <w:r w:rsidRPr="0011794F">
        <w:rPr>
          <w:i/>
        </w:rPr>
        <w:t>δ</w:t>
      </w:r>
      <w:r w:rsidRPr="0011794F">
        <w:rPr>
          <w:i/>
          <w:vertAlign w:val="subscript"/>
        </w:rPr>
        <w:t>d</w:t>
      </w:r>
      <w:proofErr w:type="spellEnd"/>
      <w:r w:rsidRPr="0011794F">
        <w:t xml:space="preserve"> is the normalization factor for damage in category </w:t>
      </w:r>
      <w:r w:rsidRPr="0011794F">
        <w:rPr>
          <w:i/>
        </w:rPr>
        <w:t>d</w:t>
      </w:r>
      <w:r w:rsidRPr="0011794F">
        <w:t>, respectively. The values of the weights and each impact category were taken from Contreras-</w:t>
      </w:r>
      <w:proofErr w:type="spellStart"/>
      <w:r w:rsidRPr="0011794F">
        <w:t>Zarazúa</w:t>
      </w:r>
      <w:proofErr w:type="spellEnd"/>
      <w:r w:rsidRPr="0011794F">
        <w:t xml:space="preserve"> et al., (2020)</w:t>
      </w:r>
    </w:p>
    <w:p w14:paraId="2EA080C1" w14:textId="77777777" w:rsidR="00A375FF" w:rsidRPr="0011794F" w:rsidRDefault="00A375FF" w:rsidP="00A375FF">
      <w:pPr>
        <w:pStyle w:val="Els-body-text"/>
      </w:pPr>
    </w:p>
    <w:p w14:paraId="62DA05F3" w14:textId="4487F85F" w:rsidR="00A375FF" w:rsidRPr="0011794F" w:rsidRDefault="00A375FF" w:rsidP="00A375FF">
      <w:pPr>
        <w:pStyle w:val="Els-body-text"/>
      </w:pPr>
      <w:r w:rsidRPr="0011794F">
        <w:t>Finally, the Individual Risk Index (IR) was used to quantify the safety of the process. This index is calculated through a quantitative risk analysis methodology and aims to measure the probability of harm caused to a person located at a certain distance from the epicenter of the accident. To identify potential accidents that could occur in the process, the HAZOP method was used, and seven possible accidents were found, which were classified into two categories: instantaneous accidents (BLEVE, UVCE, flash fire, and toxic release) and continuous release accidents (fire dart, flash fire, and toxic release). The complete set of equations for each incident and for the calculation of the IR was presented by Medina-Herrera et al. in 2014. The mathematical expression that describes the individual risk is expressed as follows:</w:t>
      </w:r>
    </w:p>
    <w:p w14:paraId="1DA846A3" w14:textId="08B4890B" w:rsidR="00A375FF" w:rsidRPr="0011794F" w:rsidRDefault="00A375FF" w:rsidP="008D2649">
      <w:pPr>
        <w:pStyle w:val="Els-body-text"/>
      </w:pPr>
    </w:p>
    <w:tbl>
      <w:tblPr>
        <w:tblW w:w="7077" w:type="dxa"/>
        <w:jc w:val="center"/>
        <w:tblLook w:val="04A0" w:firstRow="1" w:lastRow="0" w:firstColumn="1" w:lastColumn="0" w:noHBand="0" w:noVBand="1"/>
      </w:tblPr>
      <w:tblGrid>
        <w:gridCol w:w="3569"/>
        <w:gridCol w:w="3508"/>
      </w:tblGrid>
      <w:tr w:rsidR="00A375FF" w:rsidRPr="0011794F" w14:paraId="3513BF11" w14:textId="77777777" w:rsidTr="000A5B50">
        <w:trPr>
          <w:trHeight w:val="297"/>
          <w:jc w:val="center"/>
        </w:trPr>
        <w:tc>
          <w:tcPr>
            <w:tcW w:w="3569" w:type="dxa"/>
            <w:shd w:val="clear" w:color="auto" w:fill="auto"/>
          </w:tcPr>
          <w:p w14:paraId="2C73CC7C" w14:textId="77777777" w:rsidR="00A375FF" w:rsidRPr="0011794F" w:rsidRDefault="00A375FF" w:rsidP="000A5B50">
            <w:pPr>
              <w:spacing w:after="240"/>
              <w:jc w:val="both"/>
              <w:rPr>
                <w:lang w:val="en-US"/>
              </w:rPr>
            </w:pPr>
            <w:r w:rsidRPr="0011794F">
              <w:rPr>
                <w:color w:val="000000"/>
                <w:position w:val="-14"/>
              </w:rPr>
              <w:object w:dxaOrig="1359" w:dyaOrig="400" w14:anchorId="698EF5AD">
                <v:shape id="_x0000_i1027" type="#_x0000_t75" style="width:46.2pt;height:15.6pt" o:ole="">
                  <v:imagedata r:id="rId14" o:title=""/>
                </v:shape>
                <o:OLEObject Type="Embed" ProgID="Equation.DSMT4" ShapeID="_x0000_i1027" DrawAspect="Content" ObjectID="_1767428696" r:id="rId15"/>
              </w:object>
            </w:r>
          </w:p>
        </w:tc>
        <w:tc>
          <w:tcPr>
            <w:tcW w:w="3508" w:type="dxa"/>
            <w:shd w:val="clear" w:color="auto" w:fill="auto"/>
          </w:tcPr>
          <w:p w14:paraId="71787454" w14:textId="77777777" w:rsidR="00A375FF" w:rsidRPr="0011794F" w:rsidRDefault="00A375FF" w:rsidP="000A5B50">
            <w:pPr>
              <w:spacing w:after="240"/>
              <w:jc w:val="right"/>
              <w:rPr>
                <w:lang w:val="en-US"/>
              </w:rPr>
            </w:pPr>
            <w:r w:rsidRPr="0011794F">
              <w:rPr>
                <w:lang w:val="en-US"/>
              </w:rPr>
              <w:t>(3)</w:t>
            </w:r>
          </w:p>
        </w:tc>
      </w:tr>
    </w:tbl>
    <w:p w14:paraId="10FA334E" w14:textId="6C2E2642" w:rsidR="00A375FF" w:rsidRPr="0011794F" w:rsidRDefault="00A375FF" w:rsidP="008D2649">
      <w:pPr>
        <w:pStyle w:val="Els-body-text"/>
      </w:pPr>
      <w:r w:rsidRPr="0011794F">
        <w:t xml:space="preserve">Where </w:t>
      </w:r>
      <w:r w:rsidRPr="0011794F">
        <w:rPr>
          <w:i/>
        </w:rPr>
        <w:t>fi</w:t>
      </w:r>
      <w:r w:rsidRPr="0011794F">
        <w:t xml:space="preserve"> is the frequency with which incident i occurs, while </w:t>
      </w:r>
      <w:proofErr w:type="spellStart"/>
      <w:proofErr w:type="gramStart"/>
      <w:r w:rsidRPr="0011794F">
        <w:rPr>
          <w:i/>
        </w:rPr>
        <w:t>P</w:t>
      </w:r>
      <w:r w:rsidRPr="0011794F">
        <w:rPr>
          <w:i/>
          <w:vertAlign w:val="subscript"/>
        </w:rPr>
        <w:t>x,y</w:t>
      </w:r>
      <w:proofErr w:type="spellEnd"/>
      <w:proofErr w:type="gramEnd"/>
      <w:r w:rsidRPr="0011794F">
        <w:t xml:space="preserve"> is the probability of injury or death caused by incident i.</w:t>
      </w:r>
    </w:p>
    <w:p w14:paraId="144DE6A1" w14:textId="291775F4" w:rsidR="008D2649" w:rsidRPr="0011794F" w:rsidRDefault="00A375FF" w:rsidP="008D2649">
      <w:pPr>
        <w:pStyle w:val="Els-1storder-head"/>
        <w:spacing w:after="120"/>
        <w:rPr>
          <w:lang w:val="en-GB"/>
        </w:rPr>
      </w:pPr>
      <w:r w:rsidRPr="0011794F">
        <w:rPr>
          <w:lang w:val="en-GB"/>
        </w:rPr>
        <w:t>Results</w:t>
      </w:r>
    </w:p>
    <w:p w14:paraId="61A6E42D" w14:textId="2872F1E8" w:rsidR="0095076C" w:rsidRPr="0011794F" w:rsidRDefault="009A0AB6" w:rsidP="009A0AB6">
      <w:pPr>
        <w:pStyle w:val="Els-body-text"/>
        <w:rPr>
          <w:lang w:val="en-GB"/>
        </w:rPr>
      </w:pPr>
      <w:r w:rsidRPr="0011794F">
        <w:rPr>
          <w:lang w:val="en-GB"/>
        </w:rPr>
        <w:t xml:space="preserve">In this section, the results obtained during the sensitivity analysis for the different processes are shown. The results obtained with the sensitivity analysis are presented in </w:t>
      </w:r>
    </w:p>
    <w:p w14:paraId="46965CA5" w14:textId="6FDAA721" w:rsidR="0095076C" w:rsidRPr="0011794F" w:rsidRDefault="0095076C" w:rsidP="0095076C">
      <w:pPr>
        <w:pStyle w:val="Els-body-text"/>
      </w:pPr>
      <w:r w:rsidRPr="0011794F">
        <w:t>Table 1. Design specification for different the processes.</w:t>
      </w:r>
    </w:p>
    <w:tbl>
      <w:tblPr>
        <w:tblW w:w="7194" w:type="dxa"/>
        <w:jc w:val="center"/>
        <w:tblLook w:val="04A0" w:firstRow="1" w:lastRow="0" w:firstColumn="1" w:lastColumn="0" w:noHBand="0" w:noVBand="1"/>
      </w:tblPr>
      <w:tblGrid>
        <w:gridCol w:w="2568"/>
        <w:gridCol w:w="1623"/>
        <w:gridCol w:w="1623"/>
        <w:gridCol w:w="1380"/>
      </w:tblGrid>
      <w:tr w:rsidR="0095076C" w:rsidRPr="0011794F" w14:paraId="0683B227" w14:textId="77777777" w:rsidTr="000A5B50">
        <w:trPr>
          <w:trHeight w:val="204"/>
          <w:jc w:val="center"/>
        </w:trPr>
        <w:tc>
          <w:tcPr>
            <w:tcW w:w="2568" w:type="dxa"/>
            <w:tcBorders>
              <w:top w:val="single" w:sz="4" w:space="0" w:color="auto"/>
              <w:bottom w:val="single" w:sz="4" w:space="0" w:color="auto"/>
            </w:tcBorders>
            <w:shd w:val="clear" w:color="auto" w:fill="auto"/>
            <w:vAlign w:val="center"/>
          </w:tcPr>
          <w:p w14:paraId="116D0ED8" w14:textId="77777777" w:rsidR="0095076C" w:rsidRPr="0011794F" w:rsidRDefault="0095076C" w:rsidP="000A5B50">
            <w:pPr>
              <w:pStyle w:val="Els-body-text"/>
              <w:jc w:val="center"/>
              <w:rPr>
                <w:b/>
                <w:bCs/>
                <w:sz w:val="16"/>
                <w:szCs w:val="16"/>
              </w:rPr>
            </w:pPr>
            <w:r w:rsidRPr="0011794F">
              <w:rPr>
                <w:b/>
                <w:bCs/>
                <w:sz w:val="16"/>
                <w:szCs w:val="16"/>
              </w:rPr>
              <w:t>Design specifications</w:t>
            </w:r>
          </w:p>
        </w:tc>
        <w:tc>
          <w:tcPr>
            <w:tcW w:w="1623" w:type="dxa"/>
            <w:tcBorders>
              <w:top w:val="single" w:sz="4" w:space="0" w:color="auto"/>
              <w:bottom w:val="single" w:sz="4" w:space="0" w:color="auto"/>
            </w:tcBorders>
            <w:shd w:val="clear" w:color="auto" w:fill="auto"/>
            <w:vAlign w:val="center"/>
          </w:tcPr>
          <w:p w14:paraId="1FDF3356" w14:textId="77777777" w:rsidR="0095076C" w:rsidRPr="0011794F" w:rsidRDefault="0095076C" w:rsidP="000A5B50">
            <w:pPr>
              <w:pStyle w:val="Els-body-text"/>
              <w:jc w:val="center"/>
              <w:rPr>
                <w:b/>
                <w:bCs/>
                <w:sz w:val="16"/>
                <w:szCs w:val="16"/>
              </w:rPr>
            </w:pPr>
            <w:r w:rsidRPr="0011794F">
              <w:rPr>
                <w:b/>
                <w:bCs/>
                <w:sz w:val="16"/>
                <w:szCs w:val="16"/>
              </w:rPr>
              <w:t>NaOH</w:t>
            </w:r>
          </w:p>
        </w:tc>
        <w:tc>
          <w:tcPr>
            <w:tcW w:w="1623" w:type="dxa"/>
            <w:tcBorders>
              <w:top w:val="single" w:sz="4" w:space="0" w:color="auto"/>
              <w:bottom w:val="single" w:sz="4" w:space="0" w:color="auto"/>
            </w:tcBorders>
            <w:shd w:val="clear" w:color="auto" w:fill="auto"/>
            <w:vAlign w:val="center"/>
          </w:tcPr>
          <w:p w14:paraId="50C12CED" w14:textId="77777777" w:rsidR="0095076C" w:rsidRPr="0011794F" w:rsidRDefault="0095076C" w:rsidP="000A5B50">
            <w:pPr>
              <w:pStyle w:val="Els-body-text"/>
              <w:jc w:val="center"/>
              <w:rPr>
                <w:b/>
                <w:bCs/>
                <w:sz w:val="16"/>
                <w:szCs w:val="16"/>
              </w:rPr>
            </w:pPr>
            <w:r w:rsidRPr="0011794F">
              <w:rPr>
                <w:b/>
                <w:bCs/>
                <w:sz w:val="16"/>
                <w:szCs w:val="16"/>
              </w:rPr>
              <w:t>Dolomite</w:t>
            </w:r>
          </w:p>
        </w:tc>
        <w:tc>
          <w:tcPr>
            <w:tcW w:w="1380" w:type="dxa"/>
            <w:tcBorders>
              <w:top w:val="single" w:sz="4" w:space="0" w:color="auto"/>
              <w:bottom w:val="single" w:sz="4" w:space="0" w:color="auto"/>
            </w:tcBorders>
            <w:shd w:val="clear" w:color="auto" w:fill="auto"/>
            <w:vAlign w:val="center"/>
          </w:tcPr>
          <w:p w14:paraId="1DE57344" w14:textId="77777777" w:rsidR="0095076C" w:rsidRPr="0011794F" w:rsidRDefault="0095076C" w:rsidP="000A5B50">
            <w:pPr>
              <w:pStyle w:val="Els-body-text"/>
              <w:jc w:val="center"/>
              <w:rPr>
                <w:b/>
                <w:bCs/>
                <w:sz w:val="16"/>
                <w:szCs w:val="16"/>
              </w:rPr>
            </w:pPr>
            <w:r w:rsidRPr="0011794F">
              <w:rPr>
                <w:b/>
                <w:bCs/>
                <w:sz w:val="16"/>
                <w:szCs w:val="16"/>
              </w:rPr>
              <w:t>DBU</w:t>
            </w:r>
          </w:p>
        </w:tc>
      </w:tr>
      <w:tr w:rsidR="0095076C" w:rsidRPr="0011794F" w14:paraId="1733EE1B" w14:textId="77777777" w:rsidTr="000A5B50">
        <w:trPr>
          <w:trHeight w:val="210"/>
          <w:jc w:val="center"/>
        </w:trPr>
        <w:tc>
          <w:tcPr>
            <w:tcW w:w="2568" w:type="dxa"/>
            <w:tcBorders>
              <w:top w:val="single" w:sz="4" w:space="0" w:color="auto"/>
            </w:tcBorders>
            <w:shd w:val="clear" w:color="auto" w:fill="auto"/>
            <w:vAlign w:val="center"/>
          </w:tcPr>
          <w:p w14:paraId="0556295C" w14:textId="77777777" w:rsidR="0095076C" w:rsidRPr="0011794F" w:rsidRDefault="0095076C" w:rsidP="000A5B50">
            <w:pPr>
              <w:jc w:val="center"/>
              <w:rPr>
                <w:sz w:val="16"/>
                <w:szCs w:val="16"/>
                <w:lang w:val="en-US"/>
              </w:rPr>
            </w:pPr>
            <w:r w:rsidRPr="0011794F">
              <w:rPr>
                <w:sz w:val="16"/>
                <w:szCs w:val="16"/>
                <w:lang w:val="en-US"/>
              </w:rPr>
              <w:t>Reactor volume R-1 (m</w:t>
            </w:r>
            <w:r w:rsidRPr="0011794F">
              <w:rPr>
                <w:sz w:val="16"/>
                <w:szCs w:val="16"/>
                <w:vertAlign w:val="superscript"/>
                <w:lang w:val="en-US"/>
              </w:rPr>
              <w:t>3</w:t>
            </w:r>
            <w:r w:rsidRPr="0011794F">
              <w:rPr>
                <w:sz w:val="16"/>
                <w:szCs w:val="16"/>
                <w:lang w:val="en-US"/>
              </w:rPr>
              <w:t>)</w:t>
            </w:r>
          </w:p>
        </w:tc>
        <w:tc>
          <w:tcPr>
            <w:tcW w:w="1623" w:type="dxa"/>
            <w:tcBorders>
              <w:top w:val="single" w:sz="4" w:space="0" w:color="auto"/>
            </w:tcBorders>
            <w:shd w:val="clear" w:color="auto" w:fill="auto"/>
            <w:vAlign w:val="center"/>
          </w:tcPr>
          <w:p w14:paraId="557D61D2" w14:textId="77777777" w:rsidR="0095076C" w:rsidRPr="0011794F" w:rsidRDefault="0095076C" w:rsidP="000A5B50">
            <w:pPr>
              <w:pStyle w:val="Els-body-text"/>
              <w:jc w:val="center"/>
              <w:rPr>
                <w:sz w:val="16"/>
                <w:szCs w:val="16"/>
              </w:rPr>
            </w:pPr>
            <w:r w:rsidRPr="0011794F">
              <w:rPr>
                <w:sz w:val="16"/>
                <w:szCs w:val="16"/>
              </w:rPr>
              <w:t>20</w:t>
            </w:r>
          </w:p>
        </w:tc>
        <w:tc>
          <w:tcPr>
            <w:tcW w:w="1623" w:type="dxa"/>
            <w:tcBorders>
              <w:top w:val="single" w:sz="4" w:space="0" w:color="auto"/>
            </w:tcBorders>
            <w:shd w:val="clear" w:color="auto" w:fill="auto"/>
            <w:vAlign w:val="center"/>
          </w:tcPr>
          <w:p w14:paraId="461EA65B" w14:textId="77777777" w:rsidR="0095076C" w:rsidRPr="0011794F" w:rsidRDefault="0095076C" w:rsidP="000A5B50">
            <w:pPr>
              <w:pStyle w:val="Els-body-text"/>
              <w:jc w:val="center"/>
              <w:rPr>
                <w:sz w:val="16"/>
                <w:szCs w:val="16"/>
              </w:rPr>
            </w:pPr>
            <w:r w:rsidRPr="0011794F">
              <w:rPr>
                <w:sz w:val="16"/>
                <w:szCs w:val="16"/>
              </w:rPr>
              <w:t>10</w:t>
            </w:r>
          </w:p>
          <w:p w14:paraId="20E0CE92" w14:textId="77777777" w:rsidR="0095076C" w:rsidRPr="0011794F" w:rsidRDefault="0095076C" w:rsidP="000A5B50">
            <w:pPr>
              <w:pStyle w:val="Els-body-text"/>
              <w:jc w:val="center"/>
              <w:rPr>
                <w:sz w:val="16"/>
                <w:szCs w:val="16"/>
              </w:rPr>
            </w:pPr>
          </w:p>
        </w:tc>
        <w:tc>
          <w:tcPr>
            <w:tcW w:w="1380" w:type="dxa"/>
            <w:tcBorders>
              <w:top w:val="single" w:sz="4" w:space="0" w:color="auto"/>
            </w:tcBorders>
            <w:shd w:val="clear" w:color="auto" w:fill="auto"/>
            <w:vAlign w:val="center"/>
          </w:tcPr>
          <w:p w14:paraId="6B6184E3" w14:textId="77777777" w:rsidR="0095076C" w:rsidRPr="0011794F" w:rsidRDefault="0095076C" w:rsidP="000A5B50">
            <w:pPr>
              <w:pStyle w:val="Els-body-text"/>
              <w:jc w:val="center"/>
              <w:rPr>
                <w:sz w:val="16"/>
                <w:szCs w:val="16"/>
              </w:rPr>
            </w:pPr>
            <w:r w:rsidRPr="0011794F">
              <w:rPr>
                <w:sz w:val="16"/>
                <w:szCs w:val="16"/>
              </w:rPr>
              <w:t>1</w:t>
            </w:r>
          </w:p>
        </w:tc>
      </w:tr>
      <w:tr w:rsidR="0095076C" w:rsidRPr="0011794F" w14:paraId="1F3F943F" w14:textId="77777777" w:rsidTr="000A5B50">
        <w:trPr>
          <w:trHeight w:val="210"/>
          <w:jc w:val="center"/>
        </w:trPr>
        <w:tc>
          <w:tcPr>
            <w:tcW w:w="2568" w:type="dxa"/>
            <w:shd w:val="clear" w:color="auto" w:fill="auto"/>
            <w:vAlign w:val="center"/>
          </w:tcPr>
          <w:p w14:paraId="3E423C2E" w14:textId="77777777" w:rsidR="0095076C" w:rsidRPr="0011794F" w:rsidRDefault="0095076C" w:rsidP="000A5B50">
            <w:pPr>
              <w:jc w:val="center"/>
              <w:rPr>
                <w:sz w:val="16"/>
                <w:szCs w:val="16"/>
                <w:lang w:val="en-US"/>
              </w:rPr>
            </w:pPr>
            <w:r w:rsidRPr="0011794F">
              <w:rPr>
                <w:sz w:val="16"/>
                <w:szCs w:val="16"/>
                <w:lang w:val="en-US"/>
              </w:rPr>
              <w:t>Temperature reactor R-1 (°C)</w:t>
            </w:r>
          </w:p>
        </w:tc>
        <w:tc>
          <w:tcPr>
            <w:tcW w:w="1623" w:type="dxa"/>
            <w:shd w:val="clear" w:color="auto" w:fill="auto"/>
            <w:vAlign w:val="center"/>
          </w:tcPr>
          <w:p w14:paraId="0E0B774C" w14:textId="77777777" w:rsidR="0095076C" w:rsidRPr="0011794F" w:rsidRDefault="0095076C" w:rsidP="000A5B50">
            <w:pPr>
              <w:pStyle w:val="Els-body-text"/>
              <w:jc w:val="center"/>
              <w:rPr>
                <w:sz w:val="16"/>
                <w:szCs w:val="16"/>
              </w:rPr>
            </w:pPr>
            <w:r w:rsidRPr="0011794F">
              <w:rPr>
                <w:sz w:val="16"/>
                <w:szCs w:val="16"/>
              </w:rPr>
              <w:t>40</w:t>
            </w:r>
          </w:p>
        </w:tc>
        <w:tc>
          <w:tcPr>
            <w:tcW w:w="1623" w:type="dxa"/>
            <w:shd w:val="clear" w:color="auto" w:fill="auto"/>
            <w:vAlign w:val="center"/>
          </w:tcPr>
          <w:p w14:paraId="68EC5621" w14:textId="77777777" w:rsidR="0095076C" w:rsidRPr="0011794F" w:rsidRDefault="0095076C" w:rsidP="000A5B50">
            <w:pPr>
              <w:pStyle w:val="Els-body-text"/>
              <w:jc w:val="center"/>
              <w:rPr>
                <w:sz w:val="16"/>
                <w:szCs w:val="16"/>
              </w:rPr>
            </w:pPr>
            <w:r w:rsidRPr="0011794F">
              <w:rPr>
                <w:sz w:val="16"/>
                <w:szCs w:val="16"/>
              </w:rPr>
              <w:t>40</w:t>
            </w:r>
          </w:p>
        </w:tc>
        <w:tc>
          <w:tcPr>
            <w:tcW w:w="1380" w:type="dxa"/>
            <w:shd w:val="clear" w:color="auto" w:fill="auto"/>
            <w:vAlign w:val="center"/>
          </w:tcPr>
          <w:p w14:paraId="4DB120AE" w14:textId="77777777" w:rsidR="0095076C" w:rsidRPr="0011794F" w:rsidRDefault="0095076C" w:rsidP="000A5B50">
            <w:pPr>
              <w:pStyle w:val="Els-body-text"/>
              <w:jc w:val="center"/>
              <w:rPr>
                <w:sz w:val="16"/>
                <w:szCs w:val="16"/>
              </w:rPr>
            </w:pPr>
            <w:r w:rsidRPr="0011794F">
              <w:rPr>
                <w:sz w:val="16"/>
                <w:szCs w:val="16"/>
              </w:rPr>
              <w:t>55</w:t>
            </w:r>
          </w:p>
        </w:tc>
      </w:tr>
      <w:tr w:rsidR="0095076C" w:rsidRPr="0011794F" w14:paraId="48F62D0F" w14:textId="77777777" w:rsidTr="000A5B50">
        <w:trPr>
          <w:trHeight w:val="210"/>
          <w:jc w:val="center"/>
        </w:trPr>
        <w:tc>
          <w:tcPr>
            <w:tcW w:w="2568" w:type="dxa"/>
            <w:shd w:val="clear" w:color="auto" w:fill="auto"/>
            <w:vAlign w:val="center"/>
          </w:tcPr>
          <w:p w14:paraId="6526F0FA" w14:textId="77777777" w:rsidR="0095076C" w:rsidRPr="0011794F" w:rsidRDefault="0095076C" w:rsidP="000A5B50">
            <w:pPr>
              <w:jc w:val="center"/>
              <w:rPr>
                <w:sz w:val="16"/>
                <w:szCs w:val="16"/>
                <w:lang w:val="en-US"/>
              </w:rPr>
            </w:pPr>
            <w:r w:rsidRPr="0011794F">
              <w:rPr>
                <w:sz w:val="16"/>
                <w:szCs w:val="16"/>
                <w:lang w:val="en-US"/>
              </w:rPr>
              <w:t>Pressure reactor R-1 (atm)</w:t>
            </w:r>
          </w:p>
        </w:tc>
        <w:tc>
          <w:tcPr>
            <w:tcW w:w="1623" w:type="dxa"/>
            <w:shd w:val="clear" w:color="auto" w:fill="auto"/>
            <w:vAlign w:val="center"/>
          </w:tcPr>
          <w:p w14:paraId="21F79A96" w14:textId="77777777" w:rsidR="0095076C" w:rsidRPr="0011794F" w:rsidRDefault="0095076C" w:rsidP="000A5B50">
            <w:pPr>
              <w:pStyle w:val="Els-body-text"/>
              <w:jc w:val="center"/>
              <w:rPr>
                <w:sz w:val="16"/>
                <w:szCs w:val="16"/>
              </w:rPr>
            </w:pPr>
            <w:r w:rsidRPr="0011794F">
              <w:rPr>
                <w:sz w:val="16"/>
                <w:szCs w:val="16"/>
              </w:rPr>
              <w:t>1</w:t>
            </w:r>
          </w:p>
        </w:tc>
        <w:tc>
          <w:tcPr>
            <w:tcW w:w="1623" w:type="dxa"/>
            <w:shd w:val="clear" w:color="auto" w:fill="auto"/>
            <w:vAlign w:val="center"/>
          </w:tcPr>
          <w:p w14:paraId="32F23852" w14:textId="77777777" w:rsidR="0095076C" w:rsidRPr="0011794F" w:rsidRDefault="0095076C" w:rsidP="000A5B50">
            <w:pPr>
              <w:pStyle w:val="Els-body-text"/>
              <w:jc w:val="center"/>
              <w:rPr>
                <w:sz w:val="16"/>
                <w:szCs w:val="16"/>
              </w:rPr>
            </w:pPr>
            <w:r w:rsidRPr="0011794F">
              <w:rPr>
                <w:sz w:val="16"/>
                <w:szCs w:val="16"/>
              </w:rPr>
              <w:t>1</w:t>
            </w:r>
          </w:p>
        </w:tc>
        <w:tc>
          <w:tcPr>
            <w:tcW w:w="1380" w:type="dxa"/>
            <w:shd w:val="clear" w:color="auto" w:fill="auto"/>
            <w:vAlign w:val="center"/>
          </w:tcPr>
          <w:p w14:paraId="116774BD" w14:textId="77777777" w:rsidR="0095076C" w:rsidRPr="0011794F" w:rsidRDefault="0095076C" w:rsidP="000A5B50">
            <w:pPr>
              <w:pStyle w:val="Els-body-text"/>
              <w:jc w:val="center"/>
              <w:rPr>
                <w:sz w:val="16"/>
                <w:szCs w:val="16"/>
              </w:rPr>
            </w:pPr>
            <w:r w:rsidRPr="0011794F">
              <w:rPr>
                <w:sz w:val="16"/>
                <w:szCs w:val="16"/>
              </w:rPr>
              <w:t>1</w:t>
            </w:r>
          </w:p>
        </w:tc>
      </w:tr>
      <w:tr w:rsidR="0095076C" w:rsidRPr="0011794F" w14:paraId="45929B0F" w14:textId="77777777" w:rsidTr="000A5B50">
        <w:trPr>
          <w:trHeight w:val="204"/>
          <w:jc w:val="center"/>
        </w:trPr>
        <w:tc>
          <w:tcPr>
            <w:tcW w:w="2568" w:type="dxa"/>
            <w:shd w:val="clear" w:color="auto" w:fill="auto"/>
            <w:vAlign w:val="center"/>
          </w:tcPr>
          <w:p w14:paraId="272B6D58" w14:textId="3614D65E" w:rsidR="0095076C" w:rsidRPr="0011794F" w:rsidRDefault="0095076C" w:rsidP="000A5B50">
            <w:pPr>
              <w:jc w:val="center"/>
              <w:rPr>
                <w:sz w:val="16"/>
                <w:szCs w:val="16"/>
                <w:lang w:val="en-US"/>
              </w:rPr>
            </w:pPr>
            <w:r w:rsidRPr="0011794F">
              <w:rPr>
                <w:sz w:val="16"/>
                <w:szCs w:val="16"/>
                <w:lang w:val="en-US"/>
              </w:rPr>
              <w:t>Feed mass flowrate acetone (</w:t>
            </w:r>
            <w:r w:rsidR="00655CAF">
              <w:rPr>
                <w:sz w:val="16"/>
                <w:szCs w:val="16"/>
                <w:lang w:val="en-US"/>
              </w:rPr>
              <w:t>k</w:t>
            </w:r>
            <w:r w:rsidRPr="0011794F">
              <w:rPr>
                <w:sz w:val="16"/>
                <w:szCs w:val="16"/>
                <w:lang w:val="en-US"/>
              </w:rPr>
              <w:t>g/h)</w:t>
            </w:r>
          </w:p>
        </w:tc>
        <w:tc>
          <w:tcPr>
            <w:tcW w:w="1623" w:type="dxa"/>
            <w:shd w:val="clear" w:color="auto" w:fill="auto"/>
            <w:vAlign w:val="center"/>
          </w:tcPr>
          <w:p w14:paraId="480E9B17" w14:textId="77777777" w:rsidR="0095076C" w:rsidRPr="0011794F" w:rsidRDefault="0095076C" w:rsidP="000A5B50">
            <w:pPr>
              <w:pStyle w:val="Els-body-text"/>
              <w:jc w:val="center"/>
              <w:rPr>
                <w:sz w:val="16"/>
                <w:szCs w:val="16"/>
              </w:rPr>
            </w:pPr>
            <w:r w:rsidRPr="0011794F">
              <w:rPr>
                <w:sz w:val="16"/>
                <w:szCs w:val="16"/>
              </w:rPr>
              <w:t>600</w:t>
            </w:r>
          </w:p>
          <w:p w14:paraId="73609E30" w14:textId="77777777" w:rsidR="0095076C" w:rsidRPr="0011794F" w:rsidRDefault="0095076C" w:rsidP="000A5B50">
            <w:pPr>
              <w:pStyle w:val="Els-body-text"/>
              <w:jc w:val="center"/>
              <w:rPr>
                <w:sz w:val="16"/>
                <w:szCs w:val="16"/>
              </w:rPr>
            </w:pPr>
          </w:p>
        </w:tc>
        <w:tc>
          <w:tcPr>
            <w:tcW w:w="1623" w:type="dxa"/>
            <w:shd w:val="clear" w:color="auto" w:fill="auto"/>
            <w:vAlign w:val="center"/>
          </w:tcPr>
          <w:p w14:paraId="5CA199A9" w14:textId="77777777" w:rsidR="0095076C" w:rsidRPr="0011794F" w:rsidRDefault="0095076C" w:rsidP="000A5B50">
            <w:pPr>
              <w:pStyle w:val="Els-body-text"/>
              <w:jc w:val="center"/>
              <w:rPr>
                <w:sz w:val="16"/>
                <w:szCs w:val="16"/>
              </w:rPr>
            </w:pPr>
            <w:r w:rsidRPr="0011794F">
              <w:rPr>
                <w:sz w:val="16"/>
                <w:szCs w:val="16"/>
              </w:rPr>
              <w:t>500</w:t>
            </w:r>
          </w:p>
          <w:p w14:paraId="3E90DCE9" w14:textId="77777777" w:rsidR="0095076C" w:rsidRPr="0011794F" w:rsidRDefault="0095076C" w:rsidP="000A5B50">
            <w:pPr>
              <w:pStyle w:val="Els-body-text"/>
              <w:rPr>
                <w:sz w:val="16"/>
                <w:szCs w:val="16"/>
              </w:rPr>
            </w:pPr>
          </w:p>
        </w:tc>
        <w:tc>
          <w:tcPr>
            <w:tcW w:w="1380" w:type="dxa"/>
            <w:shd w:val="clear" w:color="auto" w:fill="auto"/>
            <w:vAlign w:val="center"/>
          </w:tcPr>
          <w:p w14:paraId="56779B6D" w14:textId="77777777" w:rsidR="0095076C" w:rsidRPr="0011794F" w:rsidRDefault="0095076C" w:rsidP="000A5B50">
            <w:pPr>
              <w:pStyle w:val="Els-body-text"/>
              <w:jc w:val="center"/>
              <w:rPr>
                <w:sz w:val="16"/>
                <w:szCs w:val="16"/>
              </w:rPr>
            </w:pPr>
            <w:r w:rsidRPr="0011794F">
              <w:rPr>
                <w:sz w:val="16"/>
                <w:szCs w:val="16"/>
              </w:rPr>
              <w:t>3600</w:t>
            </w:r>
          </w:p>
        </w:tc>
      </w:tr>
      <w:tr w:rsidR="0095076C" w:rsidRPr="0011794F" w14:paraId="438D18F4" w14:textId="77777777" w:rsidTr="000A5B50">
        <w:trPr>
          <w:trHeight w:val="204"/>
          <w:jc w:val="center"/>
        </w:trPr>
        <w:tc>
          <w:tcPr>
            <w:tcW w:w="2568" w:type="dxa"/>
            <w:shd w:val="clear" w:color="auto" w:fill="auto"/>
            <w:vAlign w:val="center"/>
          </w:tcPr>
          <w:p w14:paraId="24536EF5" w14:textId="77777777" w:rsidR="0095076C" w:rsidRPr="0011794F" w:rsidRDefault="0095076C" w:rsidP="000A5B50">
            <w:pPr>
              <w:jc w:val="center"/>
              <w:rPr>
                <w:sz w:val="16"/>
                <w:szCs w:val="16"/>
                <w:lang w:val="en-US"/>
              </w:rPr>
            </w:pPr>
            <w:r w:rsidRPr="0011794F">
              <w:rPr>
                <w:sz w:val="16"/>
                <w:szCs w:val="16"/>
                <w:lang w:val="en-US"/>
              </w:rPr>
              <w:t>Solvent used</w:t>
            </w:r>
          </w:p>
        </w:tc>
        <w:tc>
          <w:tcPr>
            <w:tcW w:w="1623" w:type="dxa"/>
            <w:shd w:val="clear" w:color="auto" w:fill="auto"/>
            <w:vAlign w:val="center"/>
          </w:tcPr>
          <w:p w14:paraId="2FD4850C" w14:textId="75CA7165" w:rsidR="0095076C" w:rsidRPr="0011794F" w:rsidRDefault="0095076C" w:rsidP="000A5B50">
            <w:pPr>
              <w:pStyle w:val="Els-body-text"/>
              <w:jc w:val="center"/>
              <w:rPr>
                <w:sz w:val="16"/>
                <w:szCs w:val="16"/>
              </w:rPr>
            </w:pPr>
            <w:r w:rsidRPr="0011794F">
              <w:rPr>
                <w:sz w:val="16"/>
                <w:szCs w:val="16"/>
              </w:rPr>
              <w:t>Methanol-Water</w:t>
            </w:r>
            <w:r w:rsidR="001330E7">
              <w:rPr>
                <w:sz w:val="16"/>
                <w:szCs w:val="16"/>
              </w:rPr>
              <w:t xml:space="preserve"> </w:t>
            </w:r>
            <w:r w:rsidRPr="0011794F">
              <w:rPr>
                <w:sz w:val="16"/>
                <w:szCs w:val="16"/>
              </w:rPr>
              <w:t>(40-60%wt)</w:t>
            </w:r>
          </w:p>
        </w:tc>
        <w:tc>
          <w:tcPr>
            <w:tcW w:w="1623" w:type="dxa"/>
            <w:shd w:val="clear" w:color="auto" w:fill="auto"/>
            <w:vAlign w:val="center"/>
          </w:tcPr>
          <w:p w14:paraId="0700E140" w14:textId="77777777" w:rsidR="0095076C" w:rsidRPr="0011794F" w:rsidRDefault="0095076C" w:rsidP="000A5B50">
            <w:pPr>
              <w:pStyle w:val="Els-body-text"/>
              <w:jc w:val="center"/>
              <w:rPr>
                <w:sz w:val="16"/>
                <w:szCs w:val="16"/>
              </w:rPr>
            </w:pPr>
            <w:r w:rsidRPr="0011794F">
              <w:rPr>
                <w:sz w:val="16"/>
                <w:szCs w:val="16"/>
              </w:rPr>
              <w:t>-------</w:t>
            </w:r>
          </w:p>
        </w:tc>
        <w:tc>
          <w:tcPr>
            <w:tcW w:w="1380" w:type="dxa"/>
            <w:shd w:val="clear" w:color="auto" w:fill="auto"/>
            <w:vAlign w:val="center"/>
          </w:tcPr>
          <w:p w14:paraId="47CDF717" w14:textId="77777777" w:rsidR="0095076C" w:rsidRPr="0011794F" w:rsidRDefault="0095076C" w:rsidP="000A5B50">
            <w:pPr>
              <w:pStyle w:val="Els-body-text"/>
              <w:jc w:val="center"/>
              <w:rPr>
                <w:sz w:val="16"/>
                <w:szCs w:val="16"/>
              </w:rPr>
            </w:pPr>
            <w:r w:rsidRPr="0011794F">
              <w:rPr>
                <w:sz w:val="16"/>
                <w:szCs w:val="16"/>
              </w:rPr>
              <w:t>------</w:t>
            </w:r>
          </w:p>
        </w:tc>
      </w:tr>
      <w:tr w:rsidR="0095076C" w:rsidRPr="0011794F" w14:paraId="14DF26FE" w14:textId="77777777" w:rsidTr="000A5B50">
        <w:trPr>
          <w:trHeight w:val="210"/>
          <w:jc w:val="center"/>
        </w:trPr>
        <w:tc>
          <w:tcPr>
            <w:tcW w:w="2568" w:type="dxa"/>
            <w:shd w:val="clear" w:color="auto" w:fill="auto"/>
            <w:vAlign w:val="center"/>
          </w:tcPr>
          <w:p w14:paraId="17031C30" w14:textId="5A22ED7D" w:rsidR="0095076C" w:rsidRPr="0011794F" w:rsidRDefault="0095076C" w:rsidP="000A5B50">
            <w:pPr>
              <w:jc w:val="center"/>
              <w:rPr>
                <w:sz w:val="16"/>
                <w:szCs w:val="16"/>
                <w:lang w:val="en-US"/>
              </w:rPr>
            </w:pPr>
            <w:r w:rsidRPr="0011794F">
              <w:rPr>
                <w:sz w:val="16"/>
                <w:szCs w:val="16"/>
                <w:lang w:val="en-US"/>
              </w:rPr>
              <w:t>Feed mass flowrate Solvent (</w:t>
            </w:r>
            <w:r w:rsidR="00655CAF">
              <w:rPr>
                <w:sz w:val="16"/>
                <w:szCs w:val="16"/>
                <w:lang w:val="en-US"/>
              </w:rPr>
              <w:t>k</w:t>
            </w:r>
            <w:r w:rsidR="00655CAF" w:rsidRPr="0011794F">
              <w:rPr>
                <w:sz w:val="16"/>
                <w:szCs w:val="16"/>
                <w:lang w:val="en-US"/>
              </w:rPr>
              <w:t>g</w:t>
            </w:r>
            <w:r w:rsidRPr="0011794F">
              <w:rPr>
                <w:sz w:val="16"/>
                <w:szCs w:val="16"/>
                <w:lang w:val="en-US"/>
              </w:rPr>
              <w:t>/h)</w:t>
            </w:r>
          </w:p>
        </w:tc>
        <w:tc>
          <w:tcPr>
            <w:tcW w:w="1623" w:type="dxa"/>
            <w:shd w:val="clear" w:color="auto" w:fill="auto"/>
            <w:vAlign w:val="center"/>
          </w:tcPr>
          <w:p w14:paraId="6D5D2537" w14:textId="77777777" w:rsidR="0095076C" w:rsidRPr="0011794F" w:rsidRDefault="0095076C" w:rsidP="000A5B50">
            <w:pPr>
              <w:pStyle w:val="Els-body-text"/>
              <w:jc w:val="center"/>
              <w:rPr>
                <w:sz w:val="16"/>
                <w:szCs w:val="16"/>
              </w:rPr>
            </w:pPr>
            <w:r w:rsidRPr="0011794F">
              <w:rPr>
                <w:sz w:val="16"/>
                <w:szCs w:val="16"/>
              </w:rPr>
              <w:t>9000</w:t>
            </w:r>
          </w:p>
        </w:tc>
        <w:tc>
          <w:tcPr>
            <w:tcW w:w="1623" w:type="dxa"/>
            <w:shd w:val="clear" w:color="auto" w:fill="auto"/>
            <w:vAlign w:val="center"/>
          </w:tcPr>
          <w:p w14:paraId="2969AFA2" w14:textId="77777777" w:rsidR="0095076C" w:rsidRPr="0011794F" w:rsidRDefault="0095076C" w:rsidP="000A5B50">
            <w:pPr>
              <w:pStyle w:val="Els-body-text"/>
              <w:jc w:val="center"/>
              <w:rPr>
                <w:sz w:val="16"/>
                <w:szCs w:val="16"/>
              </w:rPr>
            </w:pPr>
            <w:r w:rsidRPr="0011794F">
              <w:rPr>
                <w:sz w:val="16"/>
                <w:szCs w:val="16"/>
              </w:rPr>
              <w:t>0</w:t>
            </w:r>
          </w:p>
        </w:tc>
        <w:tc>
          <w:tcPr>
            <w:tcW w:w="1380" w:type="dxa"/>
            <w:shd w:val="clear" w:color="auto" w:fill="auto"/>
            <w:vAlign w:val="center"/>
          </w:tcPr>
          <w:p w14:paraId="5683AF0B" w14:textId="77777777" w:rsidR="0095076C" w:rsidRPr="0011794F" w:rsidRDefault="0095076C" w:rsidP="000A5B50">
            <w:pPr>
              <w:pStyle w:val="Els-body-text"/>
              <w:jc w:val="center"/>
              <w:rPr>
                <w:sz w:val="16"/>
                <w:szCs w:val="16"/>
              </w:rPr>
            </w:pPr>
            <w:r w:rsidRPr="0011794F">
              <w:rPr>
                <w:sz w:val="16"/>
                <w:szCs w:val="16"/>
              </w:rPr>
              <w:t>0</w:t>
            </w:r>
          </w:p>
        </w:tc>
      </w:tr>
      <w:tr w:rsidR="0095076C" w:rsidRPr="0011794F" w14:paraId="389DDAF5" w14:textId="77777777" w:rsidTr="000A5B50">
        <w:trPr>
          <w:trHeight w:val="207"/>
          <w:jc w:val="center"/>
        </w:trPr>
        <w:tc>
          <w:tcPr>
            <w:tcW w:w="2568" w:type="dxa"/>
            <w:shd w:val="clear" w:color="auto" w:fill="auto"/>
            <w:vAlign w:val="center"/>
          </w:tcPr>
          <w:p w14:paraId="4FE7AAA0" w14:textId="1A11BAA3" w:rsidR="0095076C" w:rsidRPr="0011794F" w:rsidRDefault="00ED0AAC" w:rsidP="000A5B50">
            <w:pPr>
              <w:jc w:val="center"/>
              <w:rPr>
                <w:sz w:val="16"/>
                <w:szCs w:val="16"/>
                <w:lang w:val="en-US"/>
              </w:rPr>
            </w:pPr>
            <w:r>
              <w:rPr>
                <w:sz w:val="16"/>
                <w:szCs w:val="16"/>
                <w:lang w:val="en-US"/>
              </w:rPr>
              <w:t xml:space="preserve">Number of </w:t>
            </w:r>
            <w:r w:rsidR="0095076C" w:rsidRPr="0011794F">
              <w:rPr>
                <w:sz w:val="16"/>
                <w:szCs w:val="16"/>
                <w:lang w:val="en-US"/>
              </w:rPr>
              <w:t>Stages Column C-1</w:t>
            </w:r>
          </w:p>
        </w:tc>
        <w:tc>
          <w:tcPr>
            <w:tcW w:w="1623" w:type="dxa"/>
            <w:shd w:val="clear" w:color="auto" w:fill="auto"/>
            <w:vAlign w:val="center"/>
          </w:tcPr>
          <w:p w14:paraId="0589997D" w14:textId="77777777" w:rsidR="0095076C" w:rsidRPr="0011794F" w:rsidRDefault="0095076C" w:rsidP="000A5B50">
            <w:pPr>
              <w:pStyle w:val="Els-body-text"/>
              <w:jc w:val="center"/>
              <w:rPr>
                <w:sz w:val="16"/>
                <w:szCs w:val="16"/>
              </w:rPr>
            </w:pPr>
            <w:r w:rsidRPr="0011794F">
              <w:rPr>
                <w:sz w:val="16"/>
                <w:szCs w:val="16"/>
              </w:rPr>
              <w:t>13</w:t>
            </w:r>
          </w:p>
        </w:tc>
        <w:tc>
          <w:tcPr>
            <w:tcW w:w="1623" w:type="dxa"/>
            <w:shd w:val="clear" w:color="auto" w:fill="auto"/>
            <w:vAlign w:val="center"/>
          </w:tcPr>
          <w:p w14:paraId="0AD21054" w14:textId="77777777" w:rsidR="0095076C" w:rsidRPr="0011794F" w:rsidRDefault="0095076C" w:rsidP="000A5B50">
            <w:pPr>
              <w:pStyle w:val="Els-body-text"/>
              <w:jc w:val="center"/>
              <w:rPr>
                <w:sz w:val="16"/>
                <w:szCs w:val="16"/>
              </w:rPr>
            </w:pPr>
            <w:r w:rsidRPr="0011794F">
              <w:rPr>
                <w:sz w:val="16"/>
                <w:szCs w:val="16"/>
              </w:rPr>
              <w:t>14</w:t>
            </w:r>
          </w:p>
        </w:tc>
        <w:tc>
          <w:tcPr>
            <w:tcW w:w="1380" w:type="dxa"/>
            <w:shd w:val="clear" w:color="auto" w:fill="auto"/>
            <w:vAlign w:val="center"/>
          </w:tcPr>
          <w:p w14:paraId="37C917AB" w14:textId="77777777" w:rsidR="0095076C" w:rsidRPr="0011794F" w:rsidRDefault="0095076C" w:rsidP="000A5B50">
            <w:pPr>
              <w:pStyle w:val="Els-body-text"/>
              <w:jc w:val="center"/>
              <w:rPr>
                <w:sz w:val="16"/>
                <w:szCs w:val="16"/>
              </w:rPr>
            </w:pPr>
            <w:r w:rsidRPr="0011794F">
              <w:rPr>
                <w:sz w:val="16"/>
                <w:szCs w:val="16"/>
              </w:rPr>
              <w:t>60</w:t>
            </w:r>
          </w:p>
        </w:tc>
      </w:tr>
      <w:tr w:rsidR="0095076C" w:rsidRPr="0011794F" w14:paraId="128EC0A1" w14:textId="77777777" w:rsidTr="000A5B50">
        <w:trPr>
          <w:trHeight w:val="204"/>
          <w:jc w:val="center"/>
        </w:trPr>
        <w:tc>
          <w:tcPr>
            <w:tcW w:w="2568" w:type="dxa"/>
            <w:shd w:val="clear" w:color="auto" w:fill="auto"/>
            <w:vAlign w:val="center"/>
          </w:tcPr>
          <w:p w14:paraId="1AE5A8B2" w14:textId="77777777" w:rsidR="0095076C" w:rsidRPr="0011794F" w:rsidRDefault="0095076C" w:rsidP="00ED0AAC">
            <w:pPr>
              <w:jc w:val="center"/>
              <w:rPr>
                <w:sz w:val="16"/>
                <w:szCs w:val="16"/>
                <w:lang w:val="en-US"/>
              </w:rPr>
            </w:pPr>
            <w:r w:rsidRPr="0011794F">
              <w:rPr>
                <w:sz w:val="16"/>
                <w:szCs w:val="16"/>
                <w:lang w:val="en-US"/>
              </w:rPr>
              <w:t>Reactor volume R-2 (m</w:t>
            </w:r>
            <w:r w:rsidRPr="0011794F">
              <w:rPr>
                <w:sz w:val="16"/>
                <w:szCs w:val="16"/>
                <w:vertAlign w:val="superscript"/>
                <w:lang w:val="en-US"/>
              </w:rPr>
              <w:t>3</w:t>
            </w:r>
            <w:r w:rsidRPr="0011794F">
              <w:rPr>
                <w:sz w:val="16"/>
                <w:szCs w:val="16"/>
                <w:lang w:val="en-US"/>
              </w:rPr>
              <w:t>)</w:t>
            </w:r>
          </w:p>
        </w:tc>
        <w:tc>
          <w:tcPr>
            <w:tcW w:w="1623" w:type="dxa"/>
            <w:shd w:val="clear" w:color="auto" w:fill="auto"/>
            <w:vAlign w:val="center"/>
          </w:tcPr>
          <w:p w14:paraId="77857746" w14:textId="77777777" w:rsidR="0095076C" w:rsidRPr="0011794F" w:rsidRDefault="0095076C" w:rsidP="000A5B50">
            <w:pPr>
              <w:pStyle w:val="Els-body-text"/>
              <w:jc w:val="center"/>
              <w:rPr>
                <w:sz w:val="16"/>
                <w:szCs w:val="16"/>
              </w:rPr>
            </w:pPr>
            <w:r w:rsidRPr="0011794F">
              <w:rPr>
                <w:sz w:val="16"/>
                <w:szCs w:val="16"/>
              </w:rPr>
              <w:t>11.7</w:t>
            </w:r>
          </w:p>
        </w:tc>
        <w:tc>
          <w:tcPr>
            <w:tcW w:w="1623" w:type="dxa"/>
            <w:shd w:val="clear" w:color="auto" w:fill="auto"/>
            <w:vAlign w:val="center"/>
          </w:tcPr>
          <w:p w14:paraId="563DA4A0" w14:textId="77777777" w:rsidR="0095076C" w:rsidRPr="0011794F" w:rsidRDefault="0095076C" w:rsidP="000A5B50">
            <w:pPr>
              <w:pStyle w:val="Els-body-text"/>
              <w:jc w:val="center"/>
              <w:rPr>
                <w:sz w:val="16"/>
                <w:szCs w:val="16"/>
              </w:rPr>
            </w:pPr>
            <w:r w:rsidRPr="0011794F">
              <w:rPr>
                <w:sz w:val="16"/>
                <w:szCs w:val="16"/>
              </w:rPr>
              <w:t>26.9</w:t>
            </w:r>
          </w:p>
          <w:p w14:paraId="15E1730E" w14:textId="77777777" w:rsidR="0095076C" w:rsidRPr="0011794F" w:rsidRDefault="0095076C" w:rsidP="000A5B50">
            <w:pPr>
              <w:pStyle w:val="Els-body-text"/>
              <w:jc w:val="center"/>
              <w:rPr>
                <w:sz w:val="16"/>
                <w:szCs w:val="16"/>
              </w:rPr>
            </w:pPr>
          </w:p>
        </w:tc>
        <w:tc>
          <w:tcPr>
            <w:tcW w:w="1380" w:type="dxa"/>
            <w:tcBorders>
              <w:left w:val="nil"/>
            </w:tcBorders>
            <w:shd w:val="clear" w:color="auto" w:fill="auto"/>
            <w:vAlign w:val="center"/>
          </w:tcPr>
          <w:p w14:paraId="0507AD44" w14:textId="77777777" w:rsidR="0095076C" w:rsidRPr="0011794F" w:rsidRDefault="0095076C" w:rsidP="000A5B50">
            <w:pPr>
              <w:pStyle w:val="Els-body-text"/>
              <w:jc w:val="center"/>
              <w:rPr>
                <w:sz w:val="16"/>
                <w:szCs w:val="16"/>
              </w:rPr>
            </w:pPr>
            <w:r w:rsidRPr="0011794F">
              <w:rPr>
                <w:sz w:val="16"/>
                <w:szCs w:val="16"/>
              </w:rPr>
              <w:t>19.79</w:t>
            </w:r>
          </w:p>
        </w:tc>
      </w:tr>
      <w:tr w:rsidR="0095076C" w:rsidRPr="0011794F" w14:paraId="2412E64A" w14:textId="77777777" w:rsidTr="000A5B50">
        <w:trPr>
          <w:trHeight w:val="204"/>
          <w:jc w:val="center"/>
        </w:trPr>
        <w:tc>
          <w:tcPr>
            <w:tcW w:w="2568" w:type="dxa"/>
            <w:shd w:val="clear" w:color="auto" w:fill="auto"/>
            <w:vAlign w:val="center"/>
          </w:tcPr>
          <w:p w14:paraId="09809970" w14:textId="77777777" w:rsidR="0095076C" w:rsidRPr="0011794F" w:rsidRDefault="0095076C" w:rsidP="00ED0AAC">
            <w:pPr>
              <w:jc w:val="center"/>
              <w:rPr>
                <w:sz w:val="16"/>
                <w:szCs w:val="16"/>
                <w:lang w:val="en-US"/>
              </w:rPr>
            </w:pPr>
            <w:r w:rsidRPr="0011794F">
              <w:rPr>
                <w:sz w:val="16"/>
                <w:szCs w:val="16"/>
                <w:lang w:val="en-US"/>
              </w:rPr>
              <w:t>Temperature reactor R-1 (°C)</w:t>
            </w:r>
          </w:p>
        </w:tc>
        <w:tc>
          <w:tcPr>
            <w:tcW w:w="1623" w:type="dxa"/>
            <w:shd w:val="clear" w:color="auto" w:fill="auto"/>
            <w:vAlign w:val="center"/>
          </w:tcPr>
          <w:p w14:paraId="258B12F7" w14:textId="77777777" w:rsidR="0095076C" w:rsidRPr="0011794F" w:rsidRDefault="0095076C" w:rsidP="000A5B50">
            <w:pPr>
              <w:pStyle w:val="Els-body-text"/>
              <w:jc w:val="center"/>
              <w:rPr>
                <w:sz w:val="16"/>
                <w:szCs w:val="16"/>
              </w:rPr>
            </w:pPr>
            <w:r w:rsidRPr="0011794F">
              <w:rPr>
                <w:sz w:val="16"/>
                <w:szCs w:val="16"/>
              </w:rPr>
              <w:t>273</w:t>
            </w:r>
          </w:p>
        </w:tc>
        <w:tc>
          <w:tcPr>
            <w:tcW w:w="1623" w:type="dxa"/>
            <w:shd w:val="clear" w:color="auto" w:fill="auto"/>
            <w:vAlign w:val="center"/>
          </w:tcPr>
          <w:p w14:paraId="636346D3" w14:textId="77777777" w:rsidR="0095076C" w:rsidRPr="0011794F" w:rsidRDefault="0095076C" w:rsidP="000A5B50">
            <w:pPr>
              <w:pStyle w:val="Els-body-text"/>
              <w:jc w:val="center"/>
              <w:rPr>
                <w:sz w:val="16"/>
                <w:szCs w:val="16"/>
              </w:rPr>
            </w:pPr>
            <w:r w:rsidRPr="0011794F">
              <w:rPr>
                <w:sz w:val="16"/>
                <w:szCs w:val="16"/>
              </w:rPr>
              <w:t>359</w:t>
            </w:r>
          </w:p>
        </w:tc>
        <w:tc>
          <w:tcPr>
            <w:tcW w:w="1380" w:type="dxa"/>
            <w:tcBorders>
              <w:left w:val="nil"/>
            </w:tcBorders>
            <w:shd w:val="clear" w:color="auto" w:fill="auto"/>
            <w:vAlign w:val="center"/>
          </w:tcPr>
          <w:p w14:paraId="72A0F639" w14:textId="77777777" w:rsidR="0095076C" w:rsidRPr="0011794F" w:rsidRDefault="0095076C" w:rsidP="000A5B50">
            <w:pPr>
              <w:pStyle w:val="Els-body-text"/>
              <w:jc w:val="center"/>
              <w:rPr>
                <w:sz w:val="16"/>
                <w:szCs w:val="16"/>
              </w:rPr>
            </w:pPr>
            <w:r w:rsidRPr="0011794F">
              <w:rPr>
                <w:sz w:val="16"/>
                <w:szCs w:val="16"/>
              </w:rPr>
              <w:t>192</w:t>
            </w:r>
          </w:p>
        </w:tc>
      </w:tr>
      <w:tr w:rsidR="0095076C" w:rsidRPr="0011794F" w14:paraId="374B8AFD" w14:textId="77777777" w:rsidTr="000A5B50">
        <w:trPr>
          <w:trHeight w:val="204"/>
          <w:jc w:val="center"/>
        </w:trPr>
        <w:tc>
          <w:tcPr>
            <w:tcW w:w="2568" w:type="dxa"/>
            <w:shd w:val="clear" w:color="auto" w:fill="auto"/>
            <w:vAlign w:val="center"/>
          </w:tcPr>
          <w:p w14:paraId="041968D9" w14:textId="77777777" w:rsidR="0095076C" w:rsidRPr="0011794F" w:rsidRDefault="0095076C" w:rsidP="00ED0AAC">
            <w:pPr>
              <w:jc w:val="center"/>
              <w:rPr>
                <w:sz w:val="16"/>
                <w:szCs w:val="16"/>
                <w:lang w:val="en-US"/>
              </w:rPr>
            </w:pPr>
            <w:r w:rsidRPr="0011794F">
              <w:rPr>
                <w:sz w:val="16"/>
                <w:szCs w:val="16"/>
                <w:lang w:val="en-US"/>
              </w:rPr>
              <w:t>Pressure reactor R-2 (atm)</w:t>
            </w:r>
          </w:p>
        </w:tc>
        <w:tc>
          <w:tcPr>
            <w:tcW w:w="1623" w:type="dxa"/>
            <w:shd w:val="clear" w:color="auto" w:fill="auto"/>
            <w:vAlign w:val="center"/>
          </w:tcPr>
          <w:p w14:paraId="5DD7F6A4" w14:textId="77777777" w:rsidR="0095076C" w:rsidRPr="0011794F" w:rsidRDefault="0095076C" w:rsidP="000A5B50">
            <w:pPr>
              <w:pStyle w:val="Els-body-text"/>
              <w:jc w:val="center"/>
              <w:rPr>
                <w:sz w:val="16"/>
                <w:szCs w:val="16"/>
              </w:rPr>
            </w:pPr>
            <w:r w:rsidRPr="0011794F">
              <w:rPr>
                <w:sz w:val="16"/>
                <w:szCs w:val="16"/>
              </w:rPr>
              <w:t>45</w:t>
            </w:r>
          </w:p>
        </w:tc>
        <w:tc>
          <w:tcPr>
            <w:tcW w:w="1623" w:type="dxa"/>
            <w:shd w:val="clear" w:color="auto" w:fill="auto"/>
            <w:vAlign w:val="center"/>
          </w:tcPr>
          <w:p w14:paraId="411DD90E" w14:textId="77777777" w:rsidR="0095076C" w:rsidRPr="0011794F" w:rsidRDefault="0095076C" w:rsidP="000A5B50">
            <w:pPr>
              <w:pStyle w:val="Els-body-text"/>
              <w:jc w:val="center"/>
              <w:rPr>
                <w:sz w:val="16"/>
                <w:szCs w:val="16"/>
              </w:rPr>
            </w:pPr>
            <w:r w:rsidRPr="0011794F">
              <w:rPr>
                <w:sz w:val="16"/>
                <w:szCs w:val="16"/>
              </w:rPr>
              <w:t>25</w:t>
            </w:r>
          </w:p>
        </w:tc>
        <w:tc>
          <w:tcPr>
            <w:tcW w:w="1380" w:type="dxa"/>
            <w:tcBorders>
              <w:left w:val="nil"/>
            </w:tcBorders>
            <w:shd w:val="clear" w:color="auto" w:fill="auto"/>
            <w:vAlign w:val="center"/>
          </w:tcPr>
          <w:p w14:paraId="311CC202" w14:textId="77777777" w:rsidR="0095076C" w:rsidRPr="0011794F" w:rsidRDefault="0095076C" w:rsidP="000A5B50">
            <w:pPr>
              <w:pStyle w:val="Els-body-text"/>
              <w:jc w:val="center"/>
              <w:rPr>
                <w:sz w:val="16"/>
                <w:szCs w:val="16"/>
              </w:rPr>
            </w:pPr>
            <w:r w:rsidRPr="0011794F">
              <w:rPr>
                <w:sz w:val="16"/>
                <w:szCs w:val="16"/>
              </w:rPr>
              <w:t>45</w:t>
            </w:r>
          </w:p>
        </w:tc>
      </w:tr>
      <w:tr w:rsidR="0095076C" w:rsidRPr="0011794F" w14:paraId="18CCD244" w14:textId="77777777" w:rsidTr="000A5B50">
        <w:trPr>
          <w:trHeight w:val="168"/>
          <w:jc w:val="center"/>
        </w:trPr>
        <w:tc>
          <w:tcPr>
            <w:tcW w:w="2568" w:type="dxa"/>
            <w:shd w:val="clear" w:color="auto" w:fill="auto"/>
            <w:vAlign w:val="center"/>
          </w:tcPr>
          <w:p w14:paraId="681FD197" w14:textId="77777777" w:rsidR="0095076C" w:rsidRPr="0011794F" w:rsidRDefault="0095076C" w:rsidP="001330E7">
            <w:pPr>
              <w:jc w:val="center"/>
              <w:rPr>
                <w:sz w:val="16"/>
                <w:szCs w:val="16"/>
                <w:lang w:val="en-US"/>
              </w:rPr>
            </w:pPr>
            <w:r w:rsidRPr="0011794F">
              <w:rPr>
                <w:sz w:val="16"/>
                <w:szCs w:val="16"/>
                <w:lang w:val="en-US"/>
              </w:rPr>
              <w:lastRenderedPageBreak/>
              <w:t>Energy COM-1 (kW)</w:t>
            </w:r>
          </w:p>
        </w:tc>
        <w:tc>
          <w:tcPr>
            <w:tcW w:w="1623" w:type="dxa"/>
            <w:shd w:val="clear" w:color="auto" w:fill="auto"/>
            <w:vAlign w:val="center"/>
          </w:tcPr>
          <w:p w14:paraId="27B88B36" w14:textId="77777777" w:rsidR="0095076C" w:rsidRPr="0011794F" w:rsidRDefault="0095076C" w:rsidP="000A5B50">
            <w:pPr>
              <w:pStyle w:val="Els-body-text"/>
              <w:jc w:val="center"/>
              <w:rPr>
                <w:sz w:val="16"/>
                <w:szCs w:val="16"/>
              </w:rPr>
            </w:pPr>
            <w:r w:rsidRPr="0011794F">
              <w:rPr>
                <w:sz w:val="16"/>
                <w:szCs w:val="16"/>
              </w:rPr>
              <w:t>22529</w:t>
            </w:r>
          </w:p>
        </w:tc>
        <w:tc>
          <w:tcPr>
            <w:tcW w:w="1623" w:type="dxa"/>
            <w:shd w:val="clear" w:color="auto" w:fill="auto"/>
            <w:vAlign w:val="center"/>
          </w:tcPr>
          <w:p w14:paraId="6DC16C08" w14:textId="77777777" w:rsidR="0095076C" w:rsidRPr="0011794F" w:rsidRDefault="0095076C" w:rsidP="000A5B50">
            <w:pPr>
              <w:pStyle w:val="Els-body-text"/>
              <w:jc w:val="center"/>
              <w:rPr>
                <w:sz w:val="16"/>
                <w:szCs w:val="16"/>
              </w:rPr>
            </w:pPr>
            <w:r w:rsidRPr="0011794F">
              <w:rPr>
                <w:sz w:val="16"/>
                <w:szCs w:val="16"/>
              </w:rPr>
              <w:t>16600</w:t>
            </w:r>
          </w:p>
        </w:tc>
        <w:tc>
          <w:tcPr>
            <w:tcW w:w="1380" w:type="dxa"/>
            <w:tcBorders>
              <w:left w:val="nil"/>
            </w:tcBorders>
            <w:shd w:val="clear" w:color="auto" w:fill="auto"/>
            <w:vAlign w:val="center"/>
          </w:tcPr>
          <w:p w14:paraId="305A71CF" w14:textId="77777777" w:rsidR="0095076C" w:rsidRPr="0011794F" w:rsidRDefault="0095076C" w:rsidP="000A5B50">
            <w:pPr>
              <w:pStyle w:val="Els-body-text"/>
              <w:jc w:val="center"/>
              <w:rPr>
                <w:sz w:val="16"/>
                <w:szCs w:val="16"/>
              </w:rPr>
            </w:pPr>
            <w:r w:rsidRPr="0011794F">
              <w:rPr>
                <w:sz w:val="16"/>
                <w:szCs w:val="16"/>
              </w:rPr>
              <w:t>13081</w:t>
            </w:r>
          </w:p>
        </w:tc>
      </w:tr>
      <w:tr w:rsidR="0095076C" w:rsidRPr="0011794F" w14:paraId="7FCBEA72" w14:textId="77777777" w:rsidTr="000A5B50">
        <w:trPr>
          <w:trHeight w:val="191"/>
          <w:jc w:val="center"/>
        </w:trPr>
        <w:tc>
          <w:tcPr>
            <w:tcW w:w="2568" w:type="dxa"/>
            <w:shd w:val="clear" w:color="auto" w:fill="auto"/>
            <w:vAlign w:val="center"/>
          </w:tcPr>
          <w:p w14:paraId="04AB39CC" w14:textId="750BF916" w:rsidR="0095076C" w:rsidRPr="0011794F" w:rsidRDefault="00ED0AAC" w:rsidP="000A5B50">
            <w:pPr>
              <w:jc w:val="center"/>
              <w:rPr>
                <w:sz w:val="16"/>
                <w:szCs w:val="16"/>
                <w:lang w:val="en-US"/>
              </w:rPr>
            </w:pPr>
            <w:r>
              <w:rPr>
                <w:sz w:val="16"/>
                <w:szCs w:val="16"/>
                <w:lang w:val="en-US"/>
              </w:rPr>
              <w:t xml:space="preserve">Number of </w:t>
            </w:r>
            <w:r w:rsidRPr="0011794F">
              <w:rPr>
                <w:sz w:val="16"/>
                <w:szCs w:val="16"/>
                <w:lang w:val="en-US"/>
              </w:rPr>
              <w:t xml:space="preserve">Stages Column </w:t>
            </w:r>
            <w:r w:rsidR="0095076C" w:rsidRPr="0011794F">
              <w:rPr>
                <w:sz w:val="16"/>
                <w:szCs w:val="16"/>
                <w:lang w:val="en-US"/>
              </w:rPr>
              <w:t>s C-2</w:t>
            </w:r>
          </w:p>
        </w:tc>
        <w:tc>
          <w:tcPr>
            <w:tcW w:w="1623" w:type="dxa"/>
            <w:shd w:val="clear" w:color="auto" w:fill="auto"/>
            <w:vAlign w:val="center"/>
          </w:tcPr>
          <w:p w14:paraId="37D4F857" w14:textId="77777777" w:rsidR="0095076C" w:rsidRPr="0011794F" w:rsidRDefault="0095076C" w:rsidP="000A5B50">
            <w:pPr>
              <w:pStyle w:val="Els-body-text"/>
              <w:jc w:val="center"/>
              <w:rPr>
                <w:sz w:val="16"/>
                <w:szCs w:val="16"/>
              </w:rPr>
            </w:pPr>
            <w:r w:rsidRPr="0011794F">
              <w:rPr>
                <w:sz w:val="16"/>
                <w:szCs w:val="16"/>
              </w:rPr>
              <w:t>50</w:t>
            </w:r>
          </w:p>
        </w:tc>
        <w:tc>
          <w:tcPr>
            <w:tcW w:w="1623" w:type="dxa"/>
            <w:shd w:val="clear" w:color="auto" w:fill="auto"/>
            <w:vAlign w:val="center"/>
          </w:tcPr>
          <w:p w14:paraId="0047E20C" w14:textId="77777777" w:rsidR="0095076C" w:rsidRPr="0011794F" w:rsidRDefault="0095076C" w:rsidP="000A5B50">
            <w:pPr>
              <w:pStyle w:val="Els-body-text"/>
              <w:jc w:val="center"/>
              <w:rPr>
                <w:sz w:val="16"/>
                <w:szCs w:val="16"/>
              </w:rPr>
            </w:pPr>
            <w:r w:rsidRPr="0011794F">
              <w:rPr>
                <w:sz w:val="16"/>
                <w:szCs w:val="16"/>
              </w:rPr>
              <w:t>40</w:t>
            </w:r>
          </w:p>
        </w:tc>
        <w:tc>
          <w:tcPr>
            <w:tcW w:w="1380" w:type="dxa"/>
            <w:tcBorders>
              <w:left w:val="nil"/>
            </w:tcBorders>
            <w:shd w:val="clear" w:color="auto" w:fill="auto"/>
            <w:vAlign w:val="center"/>
          </w:tcPr>
          <w:p w14:paraId="60B7A1ED" w14:textId="77777777" w:rsidR="0095076C" w:rsidRPr="0011794F" w:rsidRDefault="0095076C" w:rsidP="000A5B50">
            <w:pPr>
              <w:pStyle w:val="Els-body-text"/>
              <w:jc w:val="center"/>
              <w:rPr>
                <w:sz w:val="16"/>
                <w:szCs w:val="16"/>
              </w:rPr>
            </w:pPr>
            <w:r w:rsidRPr="0011794F">
              <w:rPr>
                <w:sz w:val="16"/>
                <w:szCs w:val="16"/>
              </w:rPr>
              <w:t>50</w:t>
            </w:r>
          </w:p>
        </w:tc>
      </w:tr>
      <w:tr w:rsidR="0095076C" w:rsidRPr="0011794F" w14:paraId="279BD5E1" w14:textId="77777777" w:rsidTr="000A5B50">
        <w:trPr>
          <w:trHeight w:val="204"/>
          <w:jc w:val="center"/>
        </w:trPr>
        <w:tc>
          <w:tcPr>
            <w:tcW w:w="2568" w:type="dxa"/>
            <w:shd w:val="clear" w:color="auto" w:fill="auto"/>
            <w:vAlign w:val="center"/>
          </w:tcPr>
          <w:p w14:paraId="4CEE0E7A" w14:textId="2B65A92F" w:rsidR="0095076C" w:rsidRPr="0011794F" w:rsidRDefault="00ED0AAC" w:rsidP="000A5B50">
            <w:pPr>
              <w:jc w:val="center"/>
              <w:rPr>
                <w:sz w:val="16"/>
                <w:szCs w:val="16"/>
                <w:lang w:val="en-US"/>
              </w:rPr>
            </w:pPr>
            <w:r>
              <w:rPr>
                <w:sz w:val="16"/>
                <w:szCs w:val="16"/>
                <w:lang w:val="en-US"/>
              </w:rPr>
              <w:t xml:space="preserve">Number of </w:t>
            </w:r>
            <w:r w:rsidRPr="0011794F">
              <w:rPr>
                <w:sz w:val="16"/>
                <w:szCs w:val="16"/>
                <w:lang w:val="en-US"/>
              </w:rPr>
              <w:t xml:space="preserve">Stages Column </w:t>
            </w:r>
            <w:r w:rsidR="0095076C" w:rsidRPr="0011794F">
              <w:rPr>
                <w:sz w:val="16"/>
                <w:szCs w:val="16"/>
                <w:lang w:val="en-US"/>
              </w:rPr>
              <w:t>C-3</w:t>
            </w:r>
          </w:p>
        </w:tc>
        <w:tc>
          <w:tcPr>
            <w:tcW w:w="1623" w:type="dxa"/>
            <w:shd w:val="clear" w:color="auto" w:fill="auto"/>
            <w:vAlign w:val="center"/>
          </w:tcPr>
          <w:p w14:paraId="63AE29EC" w14:textId="77777777" w:rsidR="0095076C" w:rsidRPr="0011794F" w:rsidRDefault="0095076C" w:rsidP="000A5B50">
            <w:pPr>
              <w:pStyle w:val="Els-body-text"/>
              <w:jc w:val="center"/>
              <w:rPr>
                <w:sz w:val="16"/>
                <w:szCs w:val="16"/>
              </w:rPr>
            </w:pPr>
            <w:r w:rsidRPr="0011794F">
              <w:rPr>
                <w:sz w:val="16"/>
                <w:szCs w:val="16"/>
              </w:rPr>
              <w:t>50</w:t>
            </w:r>
          </w:p>
        </w:tc>
        <w:tc>
          <w:tcPr>
            <w:tcW w:w="1623" w:type="dxa"/>
            <w:shd w:val="clear" w:color="auto" w:fill="auto"/>
            <w:vAlign w:val="center"/>
          </w:tcPr>
          <w:p w14:paraId="2B8B2724" w14:textId="77777777" w:rsidR="0095076C" w:rsidRPr="0011794F" w:rsidRDefault="0095076C" w:rsidP="000A5B50">
            <w:pPr>
              <w:pStyle w:val="Els-body-text"/>
              <w:jc w:val="center"/>
              <w:rPr>
                <w:sz w:val="16"/>
                <w:szCs w:val="16"/>
              </w:rPr>
            </w:pPr>
            <w:r w:rsidRPr="0011794F">
              <w:rPr>
                <w:sz w:val="16"/>
                <w:szCs w:val="16"/>
              </w:rPr>
              <w:t>50</w:t>
            </w:r>
          </w:p>
        </w:tc>
        <w:tc>
          <w:tcPr>
            <w:tcW w:w="1380" w:type="dxa"/>
            <w:tcBorders>
              <w:left w:val="nil"/>
            </w:tcBorders>
            <w:shd w:val="clear" w:color="auto" w:fill="auto"/>
            <w:vAlign w:val="center"/>
          </w:tcPr>
          <w:p w14:paraId="146952D8" w14:textId="77777777" w:rsidR="0095076C" w:rsidRPr="0011794F" w:rsidRDefault="0095076C" w:rsidP="000A5B50">
            <w:pPr>
              <w:pStyle w:val="Els-body-text"/>
              <w:jc w:val="center"/>
              <w:rPr>
                <w:sz w:val="16"/>
                <w:szCs w:val="16"/>
              </w:rPr>
            </w:pPr>
            <w:r w:rsidRPr="0011794F">
              <w:rPr>
                <w:sz w:val="16"/>
                <w:szCs w:val="16"/>
              </w:rPr>
              <w:t>5</w:t>
            </w:r>
          </w:p>
        </w:tc>
      </w:tr>
      <w:tr w:rsidR="0095076C" w:rsidRPr="0011794F" w14:paraId="06500092" w14:textId="77777777" w:rsidTr="000A5B50">
        <w:trPr>
          <w:trHeight w:val="210"/>
          <w:jc w:val="center"/>
        </w:trPr>
        <w:tc>
          <w:tcPr>
            <w:tcW w:w="2568" w:type="dxa"/>
            <w:shd w:val="clear" w:color="auto" w:fill="auto"/>
            <w:vAlign w:val="center"/>
          </w:tcPr>
          <w:p w14:paraId="2068CF10" w14:textId="3646E774" w:rsidR="0095076C" w:rsidRPr="0011794F" w:rsidRDefault="0095076C" w:rsidP="000A5B50">
            <w:pPr>
              <w:jc w:val="center"/>
              <w:rPr>
                <w:sz w:val="16"/>
                <w:szCs w:val="16"/>
                <w:lang w:val="en-US"/>
              </w:rPr>
            </w:pPr>
            <w:r w:rsidRPr="0011794F">
              <w:rPr>
                <w:sz w:val="16"/>
                <w:szCs w:val="16"/>
                <w:lang w:val="en-US"/>
              </w:rPr>
              <w:t>Mass flow C8 (</w:t>
            </w:r>
            <w:r w:rsidR="00655CAF">
              <w:rPr>
                <w:sz w:val="16"/>
                <w:szCs w:val="16"/>
                <w:lang w:val="en-US"/>
              </w:rPr>
              <w:t>k</w:t>
            </w:r>
            <w:r w:rsidR="00655CAF" w:rsidRPr="0011794F">
              <w:rPr>
                <w:sz w:val="16"/>
                <w:szCs w:val="16"/>
                <w:lang w:val="en-US"/>
              </w:rPr>
              <w:t>g</w:t>
            </w:r>
            <w:r w:rsidRPr="0011794F">
              <w:rPr>
                <w:sz w:val="16"/>
                <w:szCs w:val="16"/>
                <w:lang w:val="en-US"/>
              </w:rPr>
              <w:t>/h)</w:t>
            </w:r>
          </w:p>
        </w:tc>
        <w:tc>
          <w:tcPr>
            <w:tcW w:w="1623" w:type="dxa"/>
            <w:shd w:val="clear" w:color="auto" w:fill="auto"/>
            <w:vAlign w:val="center"/>
          </w:tcPr>
          <w:p w14:paraId="6FDC66BC" w14:textId="77777777" w:rsidR="0095076C" w:rsidRPr="0011794F" w:rsidRDefault="0095076C" w:rsidP="000A5B50">
            <w:pPr>
              <w:pStyle w:val="Els-body-text"/>
              <w:jc w:val="center"/>
              <w:rPr>
                <w:sz w:val="16"/>
                <w:szCs w:val="16"/>
              </w:rPr>
            </w:pPr>
            <w:r w:rsidRPr="0011794F">
              <w:rPr>
                <w:sz w:val="16"/>
                <w:szCs w:val="16"/>
              </w:rPr>
              <w:t>2.46</w:t>
            </w:r>
          </w:p>
        </w:tc>
        <w:tc>
          <w:tcPr>
            <w:tcW w:w="1623" w:type="dxa"/>
            <w:shd w:val="clear" w:color="auto" w:fill="auto"/>
            <w:vAlign w:val="center"/>
          </w:tcPr>
          <w:p w14:paraId="755E36E6" w14:textId="77777777" w:rsidR="0095076C" w:rsidRPr="0011794F" w:rsidRDefault="0095076C" w:rsidP="000A5B50">
            <w:pPr>
              <w:pStyle w:val="Els-body-text"/>
              <w:jc w:val="center"/>
              <w:rPr>
                <w:sz w:val="16"/>
                <w:szCs w:val="16"/>
              </w:rPr>
            </w:pPr>
            <w:r w:rsidRPr="0011794F">
              <w:rPr>
                <w:sz w:val="16"/>
                <w:szCs w:val="16"/>
              </w:rPr>
              <w:t>411.33</w:t>
            </w:r>
          </w:p>
        </w:tc>
        <w:tc>
          <w:tcPr>
            <w:tcW w:w="1380" w:type="dxa"/>
            <w:shd w:val="clear" w:color="auto" w:fill="auto"/>
            <w:vAlign w:val="center"/>
          </w:tcPr>
          <w:p w14:paraId="3A6D1875" w14:textId="77777777" w:rsidR="0095076C" w:rsidRPr="0011794F" w:rsidRDefault="0095076C" w:rsidP="000A5B50">
            <w:pPr>
              <w:pStyle w:val="Els-body-text"/>
              <w:jc w:val="center"/>
              <w:rPr>
                <w:sz w:val="16"/>
                <w:szCs w:val="16"/>
              </w:rPr>
            </w:pPr>
            <w:r w:rsidRPr="0011794F">
              <w:rPr>
                <w:sz w:val="16"/>
                <w:szCs w:val="16"/>
              </w:rPr>
              <w:t>10.3</w:t>
            </w:r>
          </w:p>
        </w:tc>
      </w:tr>
      <w:tr w:rsidR="0095076C" w:rsidRPr="0011794F" w14:paraId="7F4310BB" w14:textId="77777777" w:rsidTr="000A5B50">
        <w:trPr>
          <w:trHeight w:val="210"/>
          <w:jc w:val="center"/>
        </w:trPr>
        <w:tc>
          <w:tcPr>
            <w:tcW w:w="2568" w:type="dxa"/>
            <w:shd w:val="clear" w:color="auto" w:fill="auto"/>
            <w:vAlign w:val="center"/>
          </w:tcPr>
          <w:p w14:paraId="4632A021" w14:textId="15B9ED78" w:rsidR="0095076C" w:rsidRPr="0011794F" w:rsidRDefault="0095076C" w:rsidP="000A5B50">
            <w:pPr>
              <w:jc w:val="center"/>
              <w:rPr>
                <w:sz w:val="16"/>
                <w:szCs w:val="16"/>
                <w:lang w:val="en-US"/>
              </w:rPr>
            </w:pPr>
            <w:r w:rsidRPr="0011794F">
              <w:rPr>
                <w:sz w:val="16"/>
                <w:szCs w:val="16"/>
                <w:lang w:val="en-US"/>
              </w:rPr>
              <w:t>Mass flow C13 (</w:t>
            </w:r>
            <w:r w:rsidR="00655CAF">
              <w:rPr>
                <w:sz w:val="16"/>
                <w:szCs w:val="16"/>
                <w:lang w:val="en-US"/>
              </w:rPr>
              <w:t>k</w:t>
            </w:r>
            <w:r w:rsidR="00655CAF" w:rsidRPr="0011794F">
              <w:rPr>
                <w:sz w:val="16"/>
                <w:szCs w:val="16"/>
                <w:lang w:val="en-US"/>
              </w:rPr>
              <w:t>g</w:t>
            </w:r>
            <w:r w:rsidRPr="0011794F">
              <w:rPr>
                <w:sz w:val="16"/>
                <w:szCs w:val="16"/>
                <w:lang w:val="en-US"/>
              </w:rPr>
              <w:t>/h)</w:t>
            </w:r>
          </w:p>
        </w:tc>
        <w:tc>
          <w:tcPr>
            <w:tcW w:w="1623" w:type="dxa"/>
            <w:shd w:val="clear" w:color="auto" w:fill="auto"/>
            <w:vAlign w:val="center"/>
          </w:tcPr>
          <w:p w14:paraId="1F35E995" w14:textId="77777777" w:rsidR="0095076C" w:rsidRPr="0011794F" w:rsidRDefault="0095076C" w:rsidP="000A5B50">
            <w:pPr>
              <w:pStyle w:val="Els-body-text"/>
              <w:jc w:val="center"/>
              <w:rPr>
                <w:sz w:val="16"/>
                <w:szCs w:val="16"/>
              </w:rPr>
            </w:pPr>
            <w:r w:rsidRPr="0011794F">
              <w:rPr>
                <w:sz w:val="16"/>
                <w:szCs w:val="16"/>
              </w:rPr>
              <w:t>851.39</w:t>
            </w:r>
          </w:p>
        </w:tc>
        <w:tc>
          <w:tcPr>
            <w:tcW w:w="1623" w:type="dxa"/>
            <w:shd w:val="clear" w:color="auto" w:fill="auto"/>
            <w:vAlign w:val="center"/>
          </w:tcPr>
          <w:p w14:paraId="724EB991" w14:textId="77777777" w:rsidR="0095076C" w:rsidRPr="0011794F" w:rsidRDefault="0095076C" w:rsidP="000A5B50">
            <w:pPr>
              <w:pStyle w:val="Els-body-text"/>
              <w:jc w:val="center"/>
              <w:rPr>
                <w:sz w:val="16"/>
                <w:szCs w:val="16"/>
              </w:rPr>
            </w:pPr>
            <w:r w:rsidRPr="0011794F">
              <w:rPr>
                <w:sz w:val="16"/>
                <w:szCs w:val="16"/>
              </w:rPr>
              <w:t>585.49</w:t>
            </w:r>
          </w:p>
        </w:tc>
        <w:tc>
          <w:tcPr>
            <w:tcW w:w="1380" w:type="dxa"/>
            <w:shd w:val="clear" w:color="auto" w:fill="auto"/>
            <w:vAlign w:val="center"/>
          </w:tcPr>
          <w:p w14:paraId="5131D19B" w14:textId="77777777" w:rsidR="0095076C" w:rsidRPr="0011794F" w:rsidRDefault="0095076C" w:rsidP="000A5B50">
            <w:pPr>
              <w:pStyle w:val="Els-body-text"/>
              <w:jc w:val="center"/>
              <w:rPr>
                <w:sz w:val="16"/>
                <w:szCs w:val="16"/>
              </w:rPr>
            </w:pPr>
            <w:r w:rsidRPr="0011794F">
              <w:rPr>
                <w:sz w:val="16"/>
                <w:szCs w:val="16"/>
              </w:rPr>
              <w:t>912.2</w:t>
            </w:r>
          </w:p>
        </w:tc>
      </w:tr>
      <w:tr w:rsidR="0095076C" w:rsidRPr="0011794F" w14:paraId="2AC4A9DF" w14:textId="77777777" w:rsidTr="000A5B50">
        <w:trPr>
          <w:trHeight w:val="204"/>
          <w:jc w:val="center"/>
        </w:trPr>
        <w:tc>
          <w:tcPr>
            <w:tcW w:w="2568" w:type="dxa"/>
            <w:tcBorders>
              <w:bottom w:val="single" w:sz="4" w:space="0" w:color="auto"/>
            </w:tcBorders>
            <w:shd w:val="clear" w:color="auto" w:fill="auto"/>
            <w:vAlign w:val="center"/>
          </w:tcPr>
          <w:p w14:paraId="4AE5C594" w14:textId="77777777" w:rsidR="0095076C" w:rsidRPr="0011794F" w:rsidRDefault="0095076C" w:rsidP="000A5B50">
            <w:pPr>
              <w:jc w:val="center"/>
              <w:rPr>
                <w:sz w:val="16"/>
                <w:szCs w:val="16"/>
                <w:lang w:val="en-US"/>
              </w:rPr>
            </w:pPr>
            <w:r w:rsidRPr="0011794F">
              <w:rPr>
                <w:sz w:val="16"/>
                <w:szCs w:val="16"/>
                <w:lang w:val="en-US"/>
              </w:rPr>
              <w:t>Total energy of the process (kW)</w:t>
            </w:r>
          </w:p>
        </w:tc>
        <w:tc>
          <w:tcPr>
            <w:tcW w:w="1623" w:type="dxa"/>
            <w:tcBorders>
              <w:bottom w:val="single" w:sz="4" w:space="0" w:color="auto"/>
            </w:tcBorders>
            <w:shd w:val="clear" w:color="auto" w:fill="auto"/>
            <w:vAlign w:val="center"/>
          </w:tcPr>
          <w:p w14:paraId="6BD98B1D" w14:textId="77777777" w:rsidR="0095076C" w:rsidRPr="0011794F" w:rsidRDefault="0095076C" w:rsidP="000A5B50">
            <w:pPr>
              <w:pStyle w:val="Els-body-text"/>
              <w:jc w:val="center"/>
              <w:rPr>
                <w:sz w:val="16"/>
                <w:szCs w:val="16"/>
              </w:rPr>
            </w:pPr>
            <w:r w:rsidRPr="0011794F">
              <w:rPr>
                <w:sz w:val="16"/>
                <w:szCs w:val="16"/>
              </w:rPr>
              <w:t>26231</w:t>
            </w:r>
          </w:p>
        </w:tc>
        <w:tc>
          <w:tcPr>
            <w:tcW w:w="1623" w:type="dxa"/>
            <w:tcBorders>
              <w:bottom w:val="single" w:sz="4" w:space="0" w:color="auto"/>
            </w:tcBorders>
            <w:shd w:val="clear" w:color="auto" w:fill="auto"/>
            <w:vAlign w:val="center"/>
          </w:tcPr>
          <w:p w14:paraId="13BADB43" w14:textId="77777777" w:rsidR="0095076C" w:rsidRPr="0011794F" w:rsidRDefault="0095076C" w:rsidP="000A5B50">
            <w:pPr>
              <w:pStyle w:val="Els-body-text"/>
              <w:jc w:val="center"/>
              <w:rPr>
                <w:sz w:val="16"/>
                <w:szCs w:val="16"/>
              </w:rPr>
            </w:pPr>
            <w:r w:rsidRPr="0011794F">
              <w:rPr>
                <w:sz w:val="16"/>
                <w:szCs w:val="16"/>
              </w:rPr>
              <w:t>10769</w:t>
            </w:r>
          </w:p>
        </w:tc>
        <w:tc>
          <w:tcPr>
            <w:tcW w:w="1380" w:type="dxa"/>
            <w:tcBorders>
              <w:bottom w:val="single" w:sz="4" w:space="0" w:color="auto"/>
            </w:tcBorders>
            <w:shd w:val="clear" w:color="auto" w:fill="auto"/>
            <w:vAlign w:val="center"/>
          </w:tcPr>
          <w:p w14:paraId="027A5968" w14:textId="77777777" w:rsidR="0095076C" w:rsidRPr="0011794F" w:rsidRDefault="0095076C" w:rsidP="000A5B50">
            <w:pPr>
              <w:pStyle w:val="Els-body-text"/>
              <w:jc w:val="center"/>
              <w:rPr>
                <w:sz w:val="16"/>
                <w:szCs w:val="16"/>
              </w:rPr>
            </w:pPr>
            <w:r w:rsidRPr="0011794F">
              <w:rPr>
                <w:sz w:val="16"/>
                <w:szCs w:val="16"/>
              </w:rPr>
              <w:t>7012</w:t>
            </w:r>
          </w:p>
        </w:tc>
      </w:tr>
    </w:tbl>
    <w:p w14:paraId="1F15D728" w14:textId="77777777" w:rsidR="00ED0AAC" w:rsidRDefault="009A0AB6" w:rsidP="009A0AB6">
      <w:pPr>
        <w:pStyle w:val="Els-body-text"/>
        <w:rPr>
          <w:lang w:val="en-GB"/>
        </w:rPr>
      </w:pPr>
      <w:r w:rsidRPr="0011794F">
        <w:rPr>
          <w:lang w:val="en-GB"/>
        </w:rPr>
        <w:t xml:space="preserve">Additionally, the results, such as cost, environmental impact, safety, as well as the sensitivity analysis for Reactor 1 of the NaOH process, which was selected as a representative case, are shown in Figure 2. </w:t>
      </w:r>
    </w:p>
    <w:p w14:paraId="633D5847" w14:textId="77777777" w:rsidR="00ED0AAC" w:rsidRDefault="00ED0AAC" w:rsidP="009A0AB6">
      <w:pPr>
        <w:pStyle w:val="Els-body-text"/>
        <w:rPr>
          <w:lang w:val="en-GB"/>
        </w:rPr>
      </w:pPr>
    </w:p>
    <w:p w14:paraId="10D11FA7" w14:textId="77777777" w:rsidR="00ED0AAC" w:rsidRPr="0011794F" w:rsidRDefault="00ED0AAC" w:rsidP="00ED0AAC">
      <w:pPr>
        <w:pStyle w:val="Els-body-text"/>
        <w:jc w:val="center"/>
        <w:rPr>
          <w:lang w:val="en-GB"/>
        </w:rPr>
      </w:pPr>
      <w:r w:rsidRPr="0011794F">
        <w:rPr>
          <w:noProof/>
          <w:lang w:val="en-GB"/>
        </w:rPr>
        <w:drawing>
          <wp:inline distT="0" distB="0" distL="0" distR="0" wp14:anchorId="4DD2BF72" wp14:editId="6C8A4DA9">
            <wp:extent cx="3830128" cy="2286506"/>
            <wp:effectExtent l="0" t="0" r="0" b="0"/>
            <wp:docPr id="985349051" name="Imagen 985349051"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349051" name="Imagen 985349051" descr="Gráfico, Gráfico de barras&#10;&#10;Descripción generada automáticament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36413" cy="2290258"/>
                    </a:xfrm>
                    <a:prstGeom prst="rect">
                      <a:avLst/>
                    </a:prstGeom>
                    <a:noFill/>
                  </pic:spPr>
                </pic:pic>
              </a:graphicData>
            </a:graphic>
          </wp:inline>
        </w:drawing>
      </w:r>
    </w:p>
    <w:p w14:paraId="41B8138C" w14:textId="77777777" w:rsidR="00ED0AAC" w:rsidRDefault="00ED0AAC" w:rsidP="00ED0AAC">
      <w:pPr>
        <w:pStyle w:val="Els-body-text"/>
        <w:jc w:val="center"/>
      </w:pPr>
      <w:r w:rsidRPr="0011794F">
        <w:t>Figure 2. Results for TAC, EI99 for the process and sensitivity study for reactor R-1</w:t>
      </w:r>
    </w:p>
    <w:p w14:paraId="54D7DAF5" w14:textId="77777777" w:rsidR="00ED0AAC" w:rsidRPr="0011794F" w:rsidRDefault="00ED0AAC" w:rsidP="00ED0AAC">
      <w:pPr>
        <w:pStyle w:val="Els-body-text"/>
        <w:jc w:val="center"/>
      </w:pPr>
    </w:p>
    <w:p w14:paraId="76C3D240" w14:textId="19865120" w:rsidR="009A0AB6" w:rsidRPr="0011794F" w:rsidRDefault="009A0AB6" w:rsidP="009A0AB6">
      <w:pPr>
        <w:pStyle w:val="Els-body-text"/>
        <w:rPr>
          <w:lang w:val="en-GB"/>
        </w:rPr>
      </w:pPr>
      <w:r w:rsidRPr="0011794F">
        <w:rPr>
          <w:lang w:val="en-GB"/>
        </w:rPr>
        <w:t xml:space="preserve">As can be seen, of the three options, the process </w:t>
      </w:r>
      <w:proofErr w:type="spellStart"/>
      <w:r w:rsidRPr="0011794F">
        <w:rPr>
          <w:lang w:val="en-GB"/>
        </w:rPr>
        <w:t>catalyzed</w:t>
      </w:r>
      <w:proofErr w:type="spellEnd"/>
      <w:r w:rsidRPr="0011794F">
        <w:rPr>
          <w:lang w:val="en-GB"/>
        </w:rPr>
        <w:t xml:space="preserve"> with sodium hydroxide turned out to be the most expensive and with the highest environmental impact. This is mainly due to the fact that this process requires the use of a large amount of solvent (9000 kg/hr), which is composed of water and methanol. This causes not only an increase in cost and environmental impact due to the heating of a larger amount of solvent, but also an increase in the cost of water separation in the separation zone. Therefore, it is not surprising that this process is the one that requires the most energy, as can be seen in Table 1. It is important to note that this process is also very poorly selective to gasoline, with its main product being bio-jet fuel. Note also that this process is one of the worst in terms of safety, due to the need for higher pressure and temperature conditions to carry out the HDO reactions, this due to the dilution of the products with water.</w:t>
      </w:r>
    </w:p>
    <w:p w14:paraId="052685EE" w14:textId="77777777" w:rsidR="00ED0AAC" w:rsidRDefault="009A0AB6" w:rsidP="00ED0AAC">
      <w:pPr>
        <w:pStyle w:val="Els-body-text"/>
        <w:rPr>
          <w:lang w:val="en-GB"/>
        </w:rPr>
      </w:pPr>
      <w:r w:rsidRPr="0011794F">
        <w:rPr>
          <w:lang w:val="en-GB"/>
        </w:rPr>
        <w:t>In contrast, the process involving dolomite showed a lower total cost compared to the NaOH process. This is largely due to two important factors. Firstly, this process does not require the use of water, which significantly reduces the costs associated with heating and separating it. Secondly, this process is selective in the production of gasoline, as can be observed in Table 1. The hydrogenation of the gasolines is carried out under more moderate pressure and temperature conditions, which lowers the costs and significantly improves the safety of the process. It should be noted that, in this case, the reduction in costs does not correlate proportionally with the decrease in environmental impact. This is mainly because a greater amount of medium and low-pressure steam is required compared to the other processes, resulting in a lower environmental impact in economic terms, but not necessarily in environmental terms.</w:t>
      </w:r>
    </w:p>
    <w:p w14:paraId="477EF76C" w14:textId="0A58A109" w:rsidR="00065C28" w:rsidRPr="00ED0AAC" w:rsidRDefault="00065C28" w:rsidP="00ED0AAC">
      <w:pPr>
        <w:pStyle w:val="Els-body-text"/>
        <w:rPr>
          <w:lang w:val="en-GB"/>
        </w:rPr>
      </w:pPr>
      <w:r w:rsidRPr="0011794F">
        <w:rPr>
          <w:lang w:val="en-GB"/>
        </w:rPr>
        <w:lastRenderedPageBreak/>
        <w:t>Finally, the DBU process proved to be the best in terms of cost and environmental impact. It should be noted that this process, like the hydroxide process, is not selective to gasoline. This is mainly because the process does not use solvents for the aldol condensation; instead, it increases the amount of acetone. This results in significant cost reductions in heating during the HDO stage and reduced operational costs in separation. This can be clearly seen in Table 1, where this process consumes 30% less energy than the dolomite process and about 75% less than the NaOH process. This cost and environmental impact reduction is contrasted with safety, which has drastically worsened. This is because a larger amount of acetone and higher temperatures are required to carry it out, in contrast to the other processes. In addition, it is important to note that acetone volatilizes easily, which has severe safety consequences. It is for this reason that the DBU presents greater risks. However, despite this, it is important to note that the difference in risks between the three processes is not much, so DBU is chosen as the best process for producing biofuels via the furan route.</w:t>
      </w:r>
    </w:p>
    <w:p w14:paraId="144DE6AE" w14:textId="29756E20" w:rsidR="008D2649" w:rsidRPr="0011794F" w:rsidRDefault="00065C28" w:rsidP="008D2649">
      <w:pPr>
        <w:pStyle w:val="Els-1storder-head"/>
        <w:spacing w:after="120"/>
        <w:rPr>
          <w:lang w:val="en-GB"/>
        </w:rPr>
      </w:pPr>
      <w:r w:rsidRPr="0011794F">
        <w:rPr>
          <w:lang w:val="en-GB"/>
        </w:rPr>
        <w:t>Conclusions</w:t>
      </w:r>
    </w:p>
    <w:p w14:paraId="0F49FADA" w14:textId="565AB9BD" w:rsidR="00065C28" w:rsidRPr="0011794F" w:rsidRDefault="00065C28" w:rsidP="008D2649">
      <w:pPr>
        <w:pStyle w:val="Els-body-text"/>
        <w:spacing w:after="120"/>
        <w:rPr>
          <w:lang w:val="en-GB"/>
        </w:rPr>
      </w:pPr>
      <w:r w:rsidRPr="0011794F">
        <w:rPr>
          <w:lang w:val="en-GB"/>
        </w:rPr>
        <w:t xml:space="preserve">It was </w:t>
      </w:r>
      <w:r w:rsidR="001330E7" w:rsidRPr="0011794F">
        <w:rPr>
          <w:lang w:val="en-GB"/>
        </w:rPr>
        <w:t>determined</w:t>
      </w:r>
      <w:r w:rsidRPr="0011794F">
        <w:rPr>
          <w:lang w:val="en-GB"/>
        </w:rPr>
        <w:t xml:space="preserve"> that in terms of costs, the DBU process proved to be the most efficient, consuming 30% less energy than the dolomite process and about 75% less than the NaOH process. Regarding environmental impact, the dolomite-involved process showed a lower total cost compared to the NaOH process, as it does not require the use of water and is selective in gasoline production, but it requires a greater amount of medium and low-pressure steam. In terms of safety, the sodium hydroxide-involved process presented the highest risks due to the higher pressure and temperature conditions required. Although the DBU process presents higher risks, the difference in risks among the three processes is not significant. Overall, the results indicate that the DBU process is the most suitable for producing biofuels via the furan route, due to its cost efficiency and environmental impact. However, it is important to take appropriate measures to ensure safety in its application.</w:t>
      </w:r>
      <w:r w:rsidR="00ED0AAC">
        <w:rPr>
          <w:lang w:val="en-GB"/>
        </w:rPr>
        <w:t xml:space="preserve"> </w:t>
      </w:r>
      <w:r w:rsidR="00ED0AAC" w:rsidRPr="00ED0AAC">
        <w:rPr>
          <w:lang w:val="en-GB"/>
        </w:rPr>
        <w:t xml:space="preserve">To validate the </w:t>
      </w:r>
      <w:r w:rsidR="00B7216A">
        <w:rPr>
          <w:lang w:val="en-GB"/>
        </w:rPr>
        <w:t>feasibility</w:t>
      </w:r>
      <w:r w:rsidR="00ED0AAC" w:rsidRPr="00ED0AAC">
        <w:rPr>
          <w:lang w:val="en-GB"/>
        </w:rPr>
        <w:t xml:space="preserve"> of this process and to compare its costs with those of conventional fossil fuels, a supply chain study is suggested for future research."</w:t>
      </w:r>
    </w:p>
    <w:p w14:paraId="144DE6BF" w14:textId="608D0AD6" w:rsidR="008D2649" w:rsidRPr="00B7216A" w:rsidRDefault="008D2649" w:rsidP="008D2649">
      <w:pPr>
        <w:pStyle w:val="Els-reference-head"/>
        <w:rPr>
          <w:lang w:val="es-MX"/>
        </w:rPr>
      </w:pPr>
      <w:r w:rsidRPr="00B7216A">
        <w:rPr>
          <w:lang w:val="es-MX"/>
        </w:rPr>
        <w:t>References</w:t>
      </w:r>
    </w:p>
    <w:p w14:paraId="474960CC" w14:textId="77777777" w:rsidR="0095076C" w:rsidRPr="0011794F" w:rsidRDefault="0095076C" w:rsidP="0095076C">
      <w:pPr>
        <w:pStyle w:val="Els-referenceno-number"/>
        <w:ind w:left="0" w:firstLine="0"/>
        <w:rPr>
          <w:lang w:val="en-US"/>
        </w:rPr>
      </w:pPr>
      <w:r w:rsidRPr="0011794F">
        <w:rPr>
          <w:lang w:val="es-MX"/>
        </w:rPr>
        <w:t xml:space="preserve">Contreras-Zarazúa, G., Sánchez-Ramírez, E., Vazquez-Castillo, J. A., Ponce-Ortega, J. M., Errico, M., Kiss, A. A., &amp; Segovia-Hernández, J. G. (2018). </w:t>
      </w:r>
      <w:r w:rsidRPr="0011794F">
        <w:rPr>
          <w:lang w:val="en-US"/>
        </w:rPr>
        <w:t>Inherently safer design and optimization of intensified separation processes for furfural production. Industrial &amp; Engineering Chemistry Research, 58(15), 6105-6120.</w:t>
      </w:r>
    </w:p>
    <w:p w14:paraId="65135730" w14:textId="77777777" w:rsidR="0095076C" w:rsidRPr="0011794F" w:rsidRDefault="0095076C" w:rsidP="0095076C">
      <w:pPr>
        <w:pStyle w:val="Els-referenceno-number"/>
        <w:ind w:left="0" w:firstLine="0"/>
        <w:rPr>
          <w:lang w:val="en-US"/>
        </w:rPr>
      </w:pPr>
      <w:r w:rsidRPr="0011794F">
        <w:rPr>
          <w:lang w:val="en-US"/>
        </w:rPr>
        <w:t>E. Sánchez-Ramírez, B. Huerta-Rosas, J.J. Quiroz-Ramírez, V.A. Suárez-Toriello, G. Contreras-Zarazua, J.G. Segovia-Hernández, Optimization-based framework for modeling and kinetic parameter estimation, Chem. Eng. Res. Des. 186 (2022)</w:t>
      </w:r>
    </w:p>
    <w:p w14:paraId="3204A78D" w14:textId="77777777" w:rsidR="0095076C" w:rsidRPr="0011794F" w:rsidRDefault="0095076C" w:rsidP="0095076C">
      <w:pPr>
        <w:pStyle w:val="Els-referenceno-number"/>
        <w:ind w:left="0" w:firstLine="0"/>
        <w:rPr>
          <w:lang w:val="en-US"/>
        </w:rPr>
      </w:pPr>
      <w:r w:rsidRPr="0011794F">
        <w:rPr>
          <w:lang w:val="es-MX"/>
        </w:rPr>
        <w:t xml:space="preserve">Faba, L., Díaz, E., Vega, A., &amp; Ordónez, S. (2016). </w:t>
      </w:r>
      <w:r w:rsidRPr="0011794F">
        <w:rPr>
          <w:lang w:val="en-US"/>
        </w:rPr>
        <w:t>Hydrodeoxygenation of furfural-acetone condensation adducts to tridecane over platinum catalysts. Catalysis Today, 269, 132-139.</w:t>
      </w:r>
    </w:p>
    <w:p w14:paraId="779CA143" w14:textId="77777777" w:rsidR="0095076C" w:rsidRPr="0011794F" w:rsidRDefault="0095076C" w:rsidP="0095076C">
      <w:pPr>
        <w:pStyle w:val="Els-referenceno-number"/>
        <w:ind w:left="0" w:firstLine="0"/>
        <w:rPr>
          <w:lang w:val="en-US"/>
        </w:rPr>
      </w:pPr>
      <w:r w:rsidRPr="0011794F">
        <w:rPr>
          <w:lang w:val="en-US"/>
        </w:rPr>
        <w:t>Jiménez-González, C., &amp; Constable, D. J. (2011). Green chemistry and engineering: a practical design approach. John Wiley &amp; Sons.</w:t>
      </w:r>
    </w:p>
    <w:p w14:paraId="4EE38DC3" w14:textId="77777777" w:rsidR="0095076C" w:rsidRPr="0011794F" w:rsidRDefault="0095076C" w:rsidP="0095076C">
      <w:pPr>
        <w:pStyle w:val="Els-referenceno-number"/>
        <w:ind w:left="0" w:firstLine="0"/>
        <w:rPr>
          <w:lang w:val="en-US"/>
        </w:rPr>
      </w:pPr>
      <w:r w:rsidRPr="0011794F">
        <w:rPr>
          <w:lang w:val="de-DE"/>
        </w:rPr>
        <w:t xml:space="preserve">Ko, J. K., Lee, J. H., Jung, J. H., &amp; Lee, S. M. (2020). </w:t>
      </w:r>
      <w:r w:rsidRPr="0011794F">
        <w:rPr>
          <w:lang w:val="en-US"/>
        </w:rPr>
        <w:t>Recent advances and future directions in plant and yeast engineering to improve lignocellulosic biofuel production. Renewable and Sustainable Energy Reviews, 134, 110390.</w:t>
      </w:r>
    </w:p>
    <w:p w14:paraId="0AC24696" w14:textId="77777777" w:rsidR="0095076C" w:rsidRPr="0011794F" w:rsidRDefault="0095076C" w:rsidP="0095076C">
      <w:pPr>
        <w:pStyle w:val="Els-referenceno-number"/>
        <w:ind w:left="0" w:firstLine="0"/>
        <w:rPr>
          <w:lang w:val="en-US"/>
        </w:rPr>
      </w:pPr>
      <w:r w:rsidRPr="0011794F">
        <w:rPr>
          <w:lang w:val="en-US"/>
        </w:rPr>
        <w:t>O’Neill, R. E., Vanoye, L., De Bellefon, C., &amp; Aiouache, F. (2014). Aldol-condensation of furfural by activated dolomite catalyst. Applied Catalysis B: Environmental, 144, 46-56.</w:t>
      </w:r>
    </w:p>
    <w:p w14:paraId="5A1AACAD" w14:textId="77777777" w:rsidR="0095076C" w:rsidRPr="0011794F" w:rsidRDefault="0095076C" w:rsidP="0095076C">
      <w:pPr>
        <w:pStyle w:val="Els-referenceno-number"/>
        <w:ind w:left="0" w:firstLine="0"/>
        <w:rPr>
          <w:lang w:val="en-US"/>
        </w:rPr>
      </w:pPr>
      <w:r w:rsidRPr="0011794F">
        <w:rPr>
          <w:lang w:val="en-US"/>
        </w:rPr>
        <w:t>Turton, R., Bailie, R. C., Whiting, W. B., &amp; Shaeiwitz, J. A. (2008). Analysis, synthesis and design of chemical processes. Pearson Education</w:t>
      </w:r>
    </w:p>
    <w:p w14:paraId="4C5F4DED" w14:textId="77777777" w:rsidR="0095076C" w:rsidRDefault="0095076C" w:rsidP="008D2649">
      <w:pPr>
        <w:pStyle w:val="Els-referenceno-number"/>
        <w:rPr>
          <w:lang w:val="en-US"/>
        </w:rPr>
      </w:pPr>
      <w:r w:rsidRPr="0011794F">
        <w:rPr>
          <w:lang w:val="en-US"/>
        </w:rPr>
        <w:t xml:space="preserve">U.S. Energy Information Administration (EIA), U.S. energy facts explained, (2022). </w:t>
      </w:r>
      <w:hyperlink r:id="rId17" w:history="1">
        <w:r w:rsidRPr="0011794F">
          <w:rPr>
            <w:rStyle w:val="Collegamentoipertestuale"/>
            <w:lang w:val="en-US"/>
          </w:rPr>
          <w:t>https://www.eia.gov/energyexplained/us-energy-facts/</w:t>
        </w:r>
      </w:hyperlink>
      <w:r w:rsidRPr="0011794F">
        <w:rPr>
          <w:lang w:val="en-US"/>
        </w:rPr>
        <w:t>.</w:t>
      </w:r>
    </w:p>
    <w:p w14:paraId="6DFA50BE" w14:textId="77777777" w:rsidR="003900C9" w:rsidRPr="003900C9" w:rsidRDefault="003900C9" w:rsidP="003900C9">
      <w:pPr>
        <w:pStyle w:val="Els-referenceno-number"/>
        <w:rPr>
          <w:lang w:val="en-US"/>
        </w:rPr>
      </w:pPr>
      <w:r w:rsidRPr="003900C9">
        <w:rPr>
          <w:lang w:val="en-US"/>
        </w:rPr>
        <w:lastRenderedPageBreak/>
        <w:t>I.R.E.A. (IRENA), Reaching zero with renewables biojet fuels, 2021. https://www.</w:t>
      </w:r>
    </w:p>
    <w:p w14:paraId="36F87E96" w14:textId="77777777" w:rsidR="003900C9" w:rsidRPr="003900C9" w:rsidRDefault="003900C9" w:rsidP="003900C9">
      <w:pPr>
        <w:pStyle w:val="Els-referenceno-number"/>
        <w:rPr>
          <w:lang w:val="en-US"/>
        </w:rPr>
      </w:pPr>
      <w:r w:rsidRPr="003900C9">
        <w:rPr>
          <w:lang w:val="en-US"/>
        </w:rPr>
        <w:t>irena.org/-/media/Files/IRENA/Agency/Publication/2021/Jul/IRENA_Reachi</w:t>
      </w:r>
    </w:p>
    <w:p w14:paraId="144DE6C3" w14:textId="0AC9F6A0" w:rsidR="008D2649" w:rsidRDefault="003900C9" w:rsidP="00ED0AAC">
      <w:pPr>
        <w:pStyle w:val="Els-referenceno-number"/>
        <w:rPr>
          <w:lang w:val="en-US"/>
        </w:rPr>
      </w:pPr>
      <w:r w:rsidRPr="003900C9">
        <w:rPr>
          <w:lang w:val="en-US"/>
        </w:rPr>
        <w:t>ng_Zero_Biojet_Fuels_2021.pdf.</w:t>
      </w:r>
    </w:p>
    <w:sectPr w:rsidR="008D2649" w:rsidSect="008B0184">
      <w:headerReference w:type="even" r:id="rId18"/>
      <w:headerReference w:type="default" r:id="rId19"/>
      <w:headerReference w:type="first" r:id="rId20"/>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AABA2" w14:textId="77777777" w:rsidR="001A7BE2" w:rsidRDefault="001A7BE2">
      <w:r>
        <w:separator/>
      </w:r>
    </w:p>
  </w:endnote>
  <w:endnote w:type="continuationSeparator" w:id="0">
    <w:p w14:paraId="032B7304" w14:textId="77777777" w:rsidR="001A7BE2" w:rsidRDefault="001A7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87B32" w14:textId="77777777" w:rsidR="001A7BE2" w:rsidRDefault="001A7BE2">
      <w:r>
        <w:separator/>
      </w:r>
    </w:p>
  </w:footnote>
  <w:footnote w:type="continuationSeparator" w:id="0">
    <w:p w14:paraId="7F99D710" w14:textId="77777777" w:rsidR="001A7BE2" w:rsidRDefault="001A7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6BEAEE42" w:rsidR="00DD3D9E" w:rsidRDefault="00DD3D9E">
    <w:pPr>
      <w:pStyle w:val="Intestazione"/>
      <w:tabs>
        <w:tab w:val="clear" w:pos="7200"/>
        <w:tab w:val="right" w:pos="7088"/>
      </w:tabs>
    </w:pPr>
    <w:r>
      <w:rPr>
        <w:rStyle w:val="Numeropagina"/>
      </w:rPr>
      <w:tab/>
    </w:r>
    <w:r>
      <w:rPr>
        <w:rStyle w:val="Numeropagina"/>
        <w:i/>
      </w:rPr>
      <w:tab/>
    </w:r>
    <w:r w:rsidR="006027BB" w:rsidRPr="006027BB">
      <w:rPr>
        <w:i/>
      </w:rPr>
      <w:t>Hinojosa-Esquivel</w:t>
    </w:r>
    <w:r w:rsidR="006027BB">
      <w:rPr>
        <w:i/>
      </w:rPr>
      <w:t xml:space="preserve">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26D07F2B" w:rsidR="00DD3D9E" w:rsidRDefault="006027BB" w:rsidP="006027BB">
    <w:pPr>
      <w:pStyle w:val="Intestazione"/>
      <w:tabs>
        <w:tab w:val="clear" w:pos="7200"/>
        <w:tab w:val="right" w:pos="7088"/>
      </w:tabs>
      <w:rPr>
        <w:sz w:val="24"/>
      </w:rPr>
    </w:pPr>
    <w:r w:rsidRPr="006027BB">
      <w:rPr>
        <w:i/>
      </w:rPr>
      <w:t>Novel Process for Biojet-fuel Production Through the Furan Pathway. Techno-Economic, Environmental and Safety Assessment</w:t>
    </w:r>
    <w:r w:rsidR="00DD3D9E">
      <w:rPr>
        <w:rStyle w:val="Numeropagina"/>
        <w:i/>
        <w:sz w:val="24"/>
      </w:rPr>
      <w:tab/>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11B43"/>
    <w:rsid w:val="00065C28"/>
    <w:rsid w:val="000759E8"/>
    <w:rsid w:val="000D2D6F"/>
    <w:rsid w:val="000D3D9B"/>
    <w:rsid w:val="0011794F"/>
    <w:rsid w:val="001330E7"/>
    <w:rsid w:val="00147711"/>
    <w:rsid w:val="0016032F"/>
    <w:rsid w:val="001879F6"/>
    <w:rsid w:val="001A7BE2"/>
    <w:rsid w:val="001B1699"/>
    <w:rsid w:val="001C0148"/>
    <w:rsid w:val="001C757E"/>
    <w:rsid w:val="0020390F"/>
    <w:rsid w:val="002234BF"/>
    <w:rsid w:val="00264926"/>
    <w:rsid w:val="002659BB"/>
    <w:rsid w:val="002C5231"/>
    <w:rsid w:val="002F7860"/>
    <w:rsid w:val="003900C9"/>
    <w:rsid w:val="00393D03"/>
    <w:rsid w:val="003A001A"/>
    <w:rsid w:val="003D1582"/>
    <w:rsid w:val="003D7E4C"/>
    <w:rsid w:val="003E41C2"/>
    <w:rsid w:val="0044077C"/>
    <w:rsid w:val="00497639"/>
    <w:rsid w:val="0049772C"/>
    <w:rsid w:val="004E6DC1"/>
    <w:rsid w:val="0053183E"/>
    <w:rsid w:val="00552EEB"/>
    <w:rsid w:val="00597C79"/>
    <w:rsid w:val="005C0978"/>
    <w:rsid w:val="005D52E0"/>
    <w:rsid w:val="005E7201"/>
    <w:rsid w:val="006027BB"/>
    <w:rsid w:val="00646000"/>
    <w:rsid w:val="00655CAF"/>
    <w:rsid w:val="00657703"/>
    <w:rsid w:val="00662A2C"/>
    <w:rsid w:val="00691463"/>
    <w:rsid w:val="006A69BF"/>
    <w:rsid w:val="006E6696"/>
    <w:rsid w:val="00711DF4"/>
    <w:rsid w:val="00731BCA"/>
    <w:rsid w:val="00751806"/>
    <w:rsid w:val="007718D8"/>
    <w:rsid w:val="00781D53"/>
    <w:rsid w:val="007D70A1"/>
    <w:rsid w:val="0080053E"/>
    <w:rsid w:val="00801C1B"/>
    <w:rsid w:val="008132E8"/>
    <w:rsid w:val="00815417"/>
    <w:rsid w:val="00823407"/>
    <w:rsid w:val="00846A65"/>
    <w:rsid w:val="0087449C"/>
    <w:rsid w:val="00876328"/>
    <w:rsid w:val="008B0184"/>
    <w:rsid w:val="008C5D02"/>
    <w:rsid w:val="008D2649"/>
    <w:rsid w:val="0090568D"/>
    <w:rsid w:val="009125C9"/>
    <w:rsid w:val="00913879"/>
    <w:rsid w:val="00917661"/>
    <w:rsid w:val="0095076C"/>
    <w:rsid w:val="00970E5D"/>
    <w:rsid w:val="0097701C"/>
    <w:rsid w:val="00980A65"/>
    <w:rsid w:val="009872E1"/>
    <w:rsid w:val="009A0AB6"/>
    <w:rsid w:val="009A3B89"/>
    <w:rsid w:val="009D442B"/>
    <w:rsid w:val="009F3F82"/>
    <w:rsid w:val="00A25E70"/>
    <w:rsid w:val="00A33765"/>
    <w:rsid w:val="00A375FF"/>
    <w:rsid w:val="00A51C04"/>
    <w:rsid w:val="00A63269"/>
    <w:rsid w:val="00A837AE"/>
    <w:rsid w:val="00A92377"/>
    <w:rsid w:val="00AB29ED"/>
    <w:rsid w:val="00AC79CF"/>
    <w:rsid w:val="00AE4BD8"/>
    <w:rsid w:val="00AF1451"/>
    <w:rsid w:val="00B00FD4"/>
    <w:rsid w:val="00B4388F"/>
    <w:rsid w:val="00B507C6"/>
    <w:rsid w:val="00B63237"/>
    <w:rsid w:val="00B671AD"/>
    <w:rsid w:val="00B7216A"/>
    <w:rsid w:val="00BC7A99"/>
    <w:rsid w:val="00BF3CD4"/>
    <w:rsid w:val="00C960DC"/>
    <w:rsid w:val="00CE5593"/>
    <w:rsid w:val="00D02C75"/>
    <w:rsid w:val="00D102F8"/>
    <w:rsid w:val="00D10E22"/>
    <w:rsid w:val="00D13D2C"/>
    <w:rsid w:val="00D23B74"/>
    <w:rsid w:val="00D46258"/>
    <w:rsid w:val="00D844C3"/>
    <w:rsid w:val="00DC2F94"/>
    <w:rsid w:val="00DD3D9E"/>
    <w:rsid w:val="00DD7908"/>
    <w:rsid w:val="00DE036F"/>
    <w:rsid w:val="00E82297"/>
    <w:rsid w:val="00EC50A7"/>
    <w:rsid w:val="00ED0AAC"/>
    <w:rsid w:val="00EF39FD"/>
    <w:rsid w:val="00F06842"/>
    <w:rsid w:val="00F107FD"/>
    <w:rsid w:val="00F16CDE"/>
    <w:rsid w:val="00F31D9A"/>
    <w:rsid w:val="00F61512"/>
    <w:rsid w:val="00F970C5"/>
    <w:rsid w:val="00FB6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144D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styleId="Menzionenonrisolta">
    <w:name w:val="Unresolved Mention"/>
    <w:basedOn w:val="Carpredefinitoparagrafo"/>
    <w:uiPriority w:val="99"/>
    <w:semiHidden/>
    <w:unhideWhenUsed/>
    <w:rsid w:val="002659BB"/>
    <w:rPr>
      <w:color w:val="605E5C"/>
      <w:shd w:val="clear" w:color="auto" w:fill="E1DFDD"/>
    </w:rPr>
  </w:style>
  <w:style w:type="table" w:styleId="Grigliatabella">
    <w:name w:val="Table Grid"/>
    <w:basedOn w:val="Tabellanormale"/>
    <w:uiPriority w:val="39"/>
    <w:rsid w:val="00BF3CD4"/>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D844C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contreras@ugto.mx" TargetMode="External"/><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s://www.eia.gov/energyexplained/us-energy-facts/"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2.w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DEC09-8D5D-4B2F-8B77-13791B3A0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2813</Words>
  <Characters>16027</Characters>
  <Application>Microsoft Office Word</Application>
  <DocSecurity>0</DocSecurity>
  <Lines>133</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2023-12-26T03:04:00Z</dcterms:created>
  <dcterms:modified xsi:type="dcterms:W3CDTF">2024-01-22T10:38:00Z</dcterms:modified>
</cp:coreProperties>
</file>